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E0D470">
      <w:pPr>
        <w:spacing w:line="600" w:lineRule="exact"/>
        <w:jc w:val="center"/>
        <w:rPr>
          <w:rFonts w:ascii="Times New Roman" w:hAnsi="Times New Roman" w:eastAsia="方正小标宋简体"/>
          <w:bCs/>
          <w:sz w:val="44"/>
        </w:rPr>
      </w:pPr>
      <w:r>
        <w:rPr>
          <w:rFonts w:ascii="Times New Roman" w:hAnsi="Times New Roman" w:eastAsia="方正小标宋简体"/>
          <w:bCs/>
          <w:sz w:val="44"/>
        </w:rPr>
        <w:t>202</w:t>
      </w:r>
      <w:r>
        <w:rPr>
          <w:rFonts w:hint="eastAsia" w:ascii="Times New Roman" w:hAnsi="Times New Roman" w:eastAsia="方正小标宋简体"/>
          <w:bCs/>
          <w:sz w:val="44"/>
          <w:lang w:val="en-US" w:eastAsia="zh-CN"/>
        </w:rPr>
        <w:t>5</w:t>
      </w:r>
      <w:r>
        <w:rPr>
          <w:rFonts w:ascii="Times New Roman" w:hAnsi="Times New Roman" w:eastAsia="方正小标宋简体"/>
          <w:bCs/>
          <w:sz w:val="44"/>
        </w:rPr>
        <w:t>年部门整体支出绩效自评报告</w:t>
      </w:r>
    </w:p>
    <w:p w14:paraId="6F2538BB">
      <w:pPr>
        <w:spacing w:line="580" w:lineRule="exact"/>
        <w:ind w:firstLine="617" w:firstLineChars="192"/>
        <w:jc w:val="center"/>
        <w:rPr>
          <w:rFonts w:ascii="Times New Roman" w:hAnsi="Times New Roman"/>
          <w:b/>
          <w:bCs/>
          <w:sz w:val="32"/>
        </w:rPr>
      </w:pPr>
    </w:p>
    <w:p w14:paraId="5BD2782D">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ascii="Times New Roman" w:hAnsi="Times New Roman" w:eastAsia="黑体"/>
          <w:bCs/>
          <w:sz w:val="32"/>
          <w:szCs w:val="32"/>
        </w:rPr>
      </w:pPr>
      <w:r>
        <w:rPr>
          <w:rFonts w:ascii="Times New Roman" w:hAnsi="Times New Roman" w:eastAsia="黑体"/>
          <w:bCs/>
          <w:sz w:val="32"/>
          <w:szCs w:val="32"/>
        </w:rPr>
        <w:t>一、部门基本情况</w:t>
      </w:r>
    </w:p>
    <w:p w14:paraId="5A009A9E">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Cs/>
          <w:color w:val="FF0000"/>
          <w:sz w:val="32"/>
          <w:szCs w:val="32"/>
        </w:rPr>
      </w:pPr>
      <w:r>
        <w:rPr>
          <w:rFonts w:hint="eastAsia" w:ascii="仿宋_GB2312" w:hAnsi="仿宋_GB2312" w:eastAsia="仿宋_GB2312" w:cs="仿宋_GB2312"/>
          <w:bCs/>
          <w:sz w:val="32"/>
          <w:szCs w:val="32"/>
          <w:lang w:val="en-US" w:eastAsia="zh-CN"/>
        </w:rPr>
        <w:t>淮南市审计</w:t>
      </w:r>
      <w:r>
        <w:rPr>
          <w:rFonts w:hint="eastAsia" w:ascii="仿宋_GB2312" w:hAnsi="仿宋_GB2312" w:eastAsia="仿宋_GB2312" w:cs="仿宋_GB2312"/>
          <w:bCs/>
          <w:sz w:val="32"/>
          <w:szCs w:val="32"/>
        </w:rPr>
        <w:t>局为市级财政一级预算单位，内设办公室、综合法规科、审理科、内部审计指导监督科、电子数据审计科、财政金融审计科、农业农村审计科、固定资产投资审计科、社会保障审计科、自然资源和生态环境审计科、企业审计科、行政事业审计科、科教文审计科、人事教育科、机关党委、市经济责任审计局、直属分局</w:t>
      </w:r>
      <w:r>
        <w:rPr>
          <w:rFonts w:hint="eastAsia" w:ascii="仿宋_GB2312" w:hAnsi="仿宋_GB2312" w:eastAsia="仿宋_GB2312" w:cs="仿宋_GB2312"/>
          <w:bCs/>
          <w:sz w:val="32"/>
          <w:szCs w:val="32"/>
          <w:lang w:val="en-US" w:eastAsia="zh-CN"/>
        </w:rPr>
        <w:t>17个科室（局）</w:t>
      </w:r>
      <w:r>
        <w:rPr>
          <w:rFonts w:hint="eastAsia" w:ascii="仿宋_GB2312" w:hAnsi="仿宋_GB2312" w:eastAsia="仿宋_GB2312" w:cs="仿宋_GB2312"/>
          <w:bCs/>
          <w:sz w:val="32"/>
          <w:szCs w:val="32"/>
        </w:rPr>
        <w:t>以及</w:t>
      </w:r>
      <w:r>
        <w:rPr>
          <w:rFonts w:hint="eastAsia" w:ascii="仿宋_GB2312" w:hAnsi="仿宋_GB2312" w:eastAsia="仿宋_GB2312" w:cs="仿宋_GB2312"/>
          <w:bCs/>
          <w:sz w:val="32"/>
          <w:szCs w:val="32"/>
          <w:lang w:val="en-US" w:eastAsia="zh-CN"/>
        </w:rPr>
        <w:t>固定资产投资审计中心、市审计干部培训中心</w:t>
      </w:r>
      <w:r>
        <w:rPr>
          <w:rFonts w:hint="eastAsia" w:ascii="仿宋_GB2312" w:hAnsi="仿宋_GB2312" w:eastAsia="仿宋_GB2312" w:cs="仿宋_GB2312"/>
          <w:bCs/>
          <w:sz w:val="32"/>
          <w:szCs w:val="32"/>
        </w:rPr>
        <w:t>两个</w:t>
      </w:r>
      <w:r>
        <w:rPr>
          <w:rFonts w:hint="eastAsia" w:ascii="仿宋_GB2312" w:hAnsi="仿宋_GB2312" w:eastAsia="仿宋_GB2312" w:cs="仿宋_GB2312"/>
          <w:bCs/>
          <w:sz w:val="32"/>
          <w:szCs w:val="32"/>
          <w:lang w:val="en-US" w:eastAsia="zh-CN"/>
        </w:rPr>
        <w:t>非独立核算的</w:t>
      </w:r>
      <w:r>
        <w:rPr>
          <w:rFonts w:hint="eastAsia" w:ascii="仿宋_GB2312" w:hAnsi="仿宋_GB2312" w:eastAsia="仿宋_GB2312" w:cs="仿宋_GB2312"/>
          <w:bCs/>
          <w:sz w:val="32"/>
          <w:szCs w:val="32"/>
        </w:rPr>
        <w:t>直属事业单位。</w:t>
      </w:r>
    </w:p>
    <w:p w14:paraId="2336C04E">
      <w:pPr>
        <w:keepNext w:val="0"/>
        <w:keepLines w:val="0"/>
        <w:pageBreakBefore w:val="0"/>
        <w:kinsoku/>
        <w:wordWrap/>
        <w:overflowPunct/>
        <w:topLinePunct w:val="0"/>
        <w:autoSpaceDE/>
        <w:autoSpaceDN/>
        <w:bidi w:val="0"/>
        <w:adjustRightInd/>
        <w:snapToGrid/>
        <w:spacing w:line="560" w:lineRule="exact"/>
        <w:ind w:right="0" w:firstLine="643" w:firstLineChars="200"/>
        <w:textAlignment w:val="auto"/>
        <w:rPr>
          <w:rFonts w:ascii="Times New Roman" w:hAnsi="Times New Roman" w:eastAsia="楷体_GB2312"/>
          <w:b/>
          <w:bCs/>
          <w:sz w:val="32"/>
          <w:szCs w:val="32"/>
        </w:rPr>
      </w:pPr>
      <w:r>
        <w:rPr>
          <w:rFonts w:ascii="Times New Roman" w:hAnsi="Times New Roman" w:eastAsia="楷体_GB2312"/>
          <w:b/>
          <w:bCs/>
          <w:sz w:val="32"/>
          <w:szCs w:val="32"/>
        </w:rPr>
        <w:t>（一）部门主要职责</w:t>
      </w:r>
    </w:p>
    <w:p w14:paraId="65C3ED71">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市审计局贯彻执行党中央关于审计工作的方针政策和决策部署，落实省委、市委的工作要求，在履行职责过程中坚持和加强党对审计工作的集中统一领导。主要职责是：</w:t>
      </w:r>
    </w:p>
    <w:p w14:paraId="25707033">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主管全市审计工作。负责对市级财政收支和法律法规规定属于审计监督范围的财政收支的真实、合法和效益进行审计监督，对公共资金、国有资产、国有资源和领导干部履行经济责任情况实行审计全覆盖，对领导干部实行自然资源资产离任审计，对国家有关重大政策措施贯彻落实情况进行跟踪审计。对审计、专项审计调查和核查社会审计机构相关审计报告的结果承担责任，并负有督促被审计单位整改的责任。</w:t>
      </w:r>
    </w:p>
    <w:p w14:paraId="5034DBDE">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贯彻执行国家审计方针政策和法律法规规章，起草审计相关地方性法规规章草案。制定并组织实施专业领域审计工作规划。参与起草财政经济及其相关方面的地方性法规规章草案。提出相关政策建议。对直接审计、调查和核查的事项依法进行审计评价，作出审计决定或提出审计建议。</w:t>
      </w:r>
    </w:p>
    <w:p w14:paraId="2A006789">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三）向市委审计委员会提出年度市级预算执行和其他财政收支情况审计报告。向市长提交年度市级预算执行和其他财政收支情况的审计结果报告。受市政府委托，向市人大常委会提出市级预算执行和其他财政收支情况的审计工作报告、审计查出问题整改情况报告。向市委、市政府报告对其他事项的审计和专项审计调查情况及结果。依法向社会公布审计结果。向省审计厅报告和向市直有关部门、县（区）党委和政府通报审计情况及结果。</w:t>
      </w:r>
    </w:p>
    <w:p w14:paraId="23130FBE">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四）直接审计下列事项，出具审计报告，在法定职权范围内做出审计决定，包括国家有关重大政策措施贯彻落实情况；市级预算执行情况和其他财政收支，市直各部门（含直属单位）预算的执行情况、决算草案和其他财政收支；县（区）政府预算的执行情况、决算草案和其他财政收支，市级财政转移支付资金；使用市级财政资金的事业单位和社会团体的财务收支；市级投资和以市级投资为主的建设项目的预算执行情况和决算，市级重大公共工程项目的资金管理使用和建设运营情况；自然资源管理、污染防治和生态保护与修复情况；市属国有企业和地方金融机构、市政府规定的国有资本占控股或主导地位的企业和金融机构的资产、负债和损益；市政府部门、县（区）政府管理和受市政府及其部门委托的其他单位管理的社会保障基金、社会捐赠资金和其他有关基金、资金的财务收支；国际组织和外国政府援助、贷款项目；法律法规规定的其他事项。  </w:t>
      </w:r>
    </w:p>
    <w:p w14:paraId="5B4FA2E3">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（五）按规定对县处级党政主要领导干部及其他单位主要负责人实施经济责任审计和自然资源资产离任审计。</w:t>
      </w:r>
    </w:p>
    <w:p w14:paraId="0BF78687">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（六）组织实施对国家财经法律法规、规章、政策和宏观调控措施执行情况、财政预算管理及国有资产管理使用等与国家财政收支有关的特定事项进行专项审计调查。  </w:t>
      </w:r>
    </w:p>
    <w:p w14:paraId="281267ED">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（七）依法检查审计决定执行情况，督促整改审计查出的问题，依法办理被审计单位对审计决定提请行政复议、行政诉讼或市政府裁决中的有关事项，协助配合有关部门查处相关重大案件。  </w:t>
      </w:r>
    </w:p>
    <w:p w14:paraId="6D32CC8F">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（八）指导和监督内部审计工作，核查社会审计机构对依法属于审计监督对象的单位出具的相关审计报告。  </w:t>
      </w:r>
    </w:p>
    <w:p w14:paraId="728983D9">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九）与县（区）党委和政府共同领导县（区）审计机关。依法领导和监督下级审计机关的业务，组织下级审计机关实施特定项目的专项审计或审计调查，纠正或责成纠正下级审计机关违反国家规定做出的审计决定。按照有关规定协管县（区）审计机关负责人。  </w:t>
      </w:r>
    </w:p>
    <w:p w14:paraId="08444968">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（十）组织开展审计领域的对外交流与合作，指导和推广信息技术在审计领域的应用。</w:t>
      </w:r>
    </w:p>
    <w:p w14:paraId="52E2F6E4">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（十一）负责市委、市政府和市委编委明确的安全生产职责。</w:t>
      </w:r>
    </w:p>
    <w:p w14:paraId="5A1EAA6C">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（十二）完成市委、市政府交办的其他任务。</w:t>
      </w:r>
    </w:p>
    <w:p w14:paraId="3FF8D113">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Cs/>
          <w:sz w:val="32"/>
          <w:szCs w:val="32"/>
        </w:rPr>
        <w:t>（十三）职能转变。进一步完善审计管理体制，加强全市审计工作统筹，明晰各级审计机关职能定位，理顺内部职责关系，优化审计资源配置，充实加强一线审计力量，构建集中统一、全面覆盖、权威高效的审计监督体系。优化审计工作机制，坚持科技强审，完善业务流程，改进工作方式，加强与相关部门的沟通协调，充分调动内部审计和社会审计力量，增强监督合力。</w:t>
      </w:r>
    </w:p>
    <w:p w14:paraId="23DB9BDF">
      <w:pPr>
        <w:keepNext w:val="0"/>
        <w:keepLines w:val="0"/>
        <w:pageBreakBefore w:val="0"/>
        <w:kinsoku/>
        <w:wordWrap/>
        <w:overflowPunct/>
        <w:topLinePunct w:val="0"/>
        <w:autoSpaceDE/>
        <w:autoSpaceDN/>
        <w:bidi w:val="0"/>
        <w:adjustRightInd/>
        <w:snapToGrid/>
        <w:spacing w:line="560" w:lineRule="exact"/>
        <w:ind w:right="0" w:firstLine="643" w:firstLineChars="200"/>
        <w:textAlignment w:val="auto"/>
        <w:rPr>
          <w:rFonts w:ascii="Times New Roman" w:hAnsi="Times New Roman" w:eastAsia="楷体_GB2312"/>
          <w:b/>
          <w:bCs/>
          <w:sz w:val="32"/>
          <w:szCs w:val="32"/>
        </w:rPr>
      </w:pPr>
      <w:r>
        <w:rPr>
          <w:rFonts w:ascii="Times New Roman" w:hAnsi="Times New Roman" w:eastAsia="楷体_GB2312"/>
          <w:b/>
          <w:bCs/>
          <w:sz w:val="32"/>
          <w:szCs w:val="32"/>
        </w:rPr>
        <w:t>（二）部门预算执行情况</w:t>
      </w:r>
    </w:p>
    <w:p w14:paraId="32AED03A">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202</w:t>
      </w:r>
      <w:r>
        <w:rPr>
          <w:rFonts w:hint="eastAsia" w:ascii="仿宋_GB2312" w:hAnsi="仿宋_GB2312" w:eastAsia="仿宋_GB2312" w:cs="仿宋_GB2312"/>
          <w:bCs/>
          <w:color w:val="auto"/>
          <w:sz w:val="32"/>
          <w:szCs w:val="32"/>
          <w:lang w:val="en-US" w:eastAsia="zh-CN"/>
        </w:rPr>
        <w:t>5</w:t>
      </w:r>
      <w:r>
        <w:rPr>
          <w:rFonts w:hint="eastAsia" w:ascii="仿宋_GB2312" w:hAnsi="仿宋_GB2312" w:eastAsia="仿宋_GB2312" w:cs="仿宋_GB2312"/>
          <w:bCs/>
          <w:color w:val="auto"/>
          <w:sz w:val="32"/>
          <w:szCs w:val="32"/>
        </w:rPr>
        <w:t>年市</w:t>
      </w:r>
      <w:r>
        <w:rPr>
          <w:rFonts w:hint="eastAsia" w:ascii="仿宋_GB2312" w:hAnsi="仿宋_GB2312" w:eastAsia="仿宋_GB2312" w:cs="仿宋_GB2312"/>
          <w:bCs/>
          <w:color w:val="auto"/>
          <w:sz w:val="32"/>
          <w:szCs w:val="32"/>
          <w:lang w:val="en-US" w:eastAsia="zh-CN"/>
        </w:rPr>
        <w:t>审计</w:t>
      </w:r>
      <w:r>
        <w:rPr>
          <w:rFonts w:hint="eastAsia" w:ascii="仿宋_GB2312" w:hAnsi="仿宋_GB2312" w:eastAsia="仿宋_GB2312" w:cs="仿宋_GB2312"/>
          <w:bCs/>
          <w:color w:val="auto"/>
          <w:sz w:val="32"/>
          <w:szCs w:val="32"/>
        </w:rPr>
        <w:t>局年初部门预算安排</w:t>
      </w:r>
      <w:r>
        <w:rPr>
          <w:rFonts w:hint="eastAsia" w:ascii="仿宋_GB2312" w:hAnsi="仿宋_GB2312" w:eastAsia="仿宋_GB2312" w:cs="仿宋_GB2312"/>
          <w:bCs/>
          <w:color w:val="auto"/>
          <w:sz w:val="32"/>
          <w:szCs w:val="32"/>
          <w:lang w:val="en-US" w:eastAsia="zh-CN"/>
        </w:rPr>
        <w:t>1612.88</w:t>
      </w:r>
      <w:r>
        <w:rPr>
          <w:rFonts w:hint="eastAsia" w:ascii="仿宋_GB2312" w:hAnsi="仿宋_GB2312" w:eastAsia="仿宋_GB2312" w:cs="仿宋_GB2312"/>
          <w:bCs/>
          <w:color w:val="auto"/>
          <w:sz w:val="32"/>
          <w:szCs w:val="32"/>
        </w:rPr>
        <w:t>万元，全年预算安排</w:t>
      </w:r>
      <w:r>
        <w:rPr>
          <w:rFonts w:hint="eastAsia" w:ascii="仿宋_GB2312" w:hAnsi="仿宋_GB2312" w:eastAsia="仿宋_GB2312" w:cs="仿宋_GB2312"/>
          <w:bCs/>
          <w:color w:val="auto"/>
          <w:sz w:val="32"/>
          <w:szCs w:val="32"/>
          <w:lang w:val="en-US" w:eastAsia="zh-CN"/>
        </w:rPr>
        <w:t>1612.88</w:t>
      </w:r>
      <w:r>
        <w:rPr>
          <w:rFonts w:hint="eastAsia" w:ascii="仿宋_GB2312" w:hAnsi="仿宋_GB2312" w:eastAsia="仿宋_GB2312" w:cs="仿宋_GB2312"/>
          <w:bCs/>
          <w:color w:val="auto"/>
          <w:sz w:val="32"/>
          <w:szCs w:val="32"/>
        </w:rPr>
        <w:t>万元，全年执行</w:t>
      </w:r>
      <w:r>
        <w:rPr>
          <w:rFonts w:hint="eastAsia" w:ascii="仿宋_GB2312" w:hAnsi="仿宋_GB2312" w:eastAsia="仿宋_GB2312" w:cs="仿宋_GB2312"/>
          <w:bCs/>
          <w:color w:val="auto"/>
          <w:sz w:val="32"/>
          <w:szCs w:val="32"/>
          <w:lang w:val="en-US" w:eastAsia="zh-CN"/>
        </w:rPr>
        <w:t>1612.88</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预算执行率</w:t>
      </w:r>
      <w:r>
        <w:rPr>
          <w:rFonts w:hint="eastAsia" w:ascii="仿宋_GB2312" w:hAnsi="仿宋_GB2312" w:eastAsia="仿宋_GB2312" w:cs="仿宋_GB2312"/>
          <w:bCs/>
          <w:color w:val="auto"/>
          <w:sz w:val="32"/>
          <w:szCs w:val="32"/>
          <w:lang w:val="en-US" w:eastAsia="zh-CN"/>
        </w:rPr>
        <w:t>100</w:t>
      </w: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bCs/>
          <w:color w:val="auto"/>
          <w:sz w:val="32"/>
          <w:szCs w:val="32"/>
          <w:lang w:val="en-US" w:eastAsia="zh-CN"/>
        </w:rPr>
        <w:t>。</w:t>
      </w:r>
    </w:p>
    <w:p w14:paraId="70C2D9CF">
      <w:pPr>
        <w:keepNext w:val="0"/>
        <w:keepLines w:val="0"/>
        <w:pageBreakBefore w:val="0"/>
        <w:kinsoku/>
        <w:wordWrap/>
        <w:overflowPunct/>
        <w:topLinePunct w:val="0"/>
        <w:autoSpaceDE/>
        <w:autoSpaceDN/>
        <w:bidi w:val="0"/>
        <w:adjustRightInd/>
        <w:snapToGrid/>
        <w:spacing w:line="560" w:lineRule="exact"/>
        <w:ind w:right="0" w:firstLine="643" w:firstLineChars="200"/>
        <w:textAlignment w:val="auto"/>
        <w:rPr>
          <w:rFonts w:ascii="Times New Roman" w:hAnsi="Times New Roman" w:eastAsia="楷体_GB2312"/>
          <w:b/>
          <w:bCs/>
          <w:sz w:val="32"/>
          <w:szCs w:val="32"/>
        </w:rPr>
      </w:pPr>
      <w:r>
        <w:rPr>
          <w:rFonts w:ascii="Times New Roman" w:hAnsi="Times New Roman" w:eastAsia="楷体_GB2312"/>
          <w:b/>
          <w:bCs/>
          <w:sz w:val="32"/>
          <w:szCs w:val="32"/>
        </w:rPr>
        <w:t>（三）部门年度预算绩效目标任务及完成情况</w:t>
      </w:r>
    </w:p>
    <w:p w14:paraId="36A5955D">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1.部门年度总体目标</w:t>
      </w:r>
    </w:p>
    <w:p w14:paraId="5975A09F">
      <w:pPr>
        <w:pStyle w:val="2"/>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入贯彻党的二十大和二十届历次全会精神，全面落实习近平总书记关于审计工作的重要讲话指示批示和考察安徽重要讲话精神，紧紧围绕党中央决策部署及省委、市委工作要求，牢牢把握“如臂使指、如影随形、如雷贯耳”总要求，依法全面履行审计监督职责，以高质量审计监督护航淮南高质量发展。</w:t>
      </w:r>
    </w:p>
    <w:p w14:paraId="47C3F178">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2.总体目标完成情况</w:t>
      </w:r>
    </w:p>
    <w:p w14:paraId="1EEECEBB">
      <w:pPr>
        <w:pStyle w:val="10"/>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right="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严格按照二十届中央审计委员会第三次会议“三个强化”部署要求，立足经济监督定位，聚焦主责主业，深化研究型审计，坚决查处重大问题、关键问题、典型问题。2025年全市审计机关共审计单位419个，查出违规问题、管理不规范问题，促进整改落实有关问题资金，审计利剑作用彰显。</w:t>
      </w:r>
    </w:p>
    <w:p w14:paraId="62F89BD2">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ascii="Times New Roman" w:hAnsi="Times New Roman" w:eastAsia="黑体"/>
          <w:color w:val="000000"/>
          <w:sz w:val="32"/>
          <w:szCs w:val="32"/>
        </w:rPr>
      </w:pPr>
      <w:r>
        <w:rPr>
          <w:rFonts w:ascii="Times New Roman" w:hAnsi="Times New Roman" w:eastAsia="黑体"/>
          <w:color w:val="000000"/>
          <w:sz w:val="32"/>
          <w:szCs w:val="32"/>
        </w:rPr>
        <w:t>二、绩效自评结论</w:t>
      </w:r>
    </w:p>
    <w:p w14:paraId="4322976A">
      <w:pPr>
        <w:keepNext w:val="0"/>
        <w:keepLines w:val="0"/>
        <w:pageBreakBefore w:val="0"/>
        <w:kinsoku/>
        <w:wordWrap/>
        <w:overflowPunct/>
        <w:topLinePunct w:val="0"/>
        <w:autoSpaceDE/>
        <w:autoSpaceDN/>
        <w:bidi w:val="0"/>
        <w:adjustRightInd/>
        <w:snapToGrid/>
        <w:spacing w:line="560" w:lineRule="exact"/>
        <w:ind w:right="0" w:firstLine="643" w:firstLineChars="200"/>
        <w:textAlignment w:val="auto"/>
        <w:rPr>
          <w:rFonts w:ascii="Times New Roman" w:hAnsi="Times New Roman" w:eastAsia="楷体_GB2312"/>
          <w:b/>
          <w:bCs/>
          <w:sz w:val="32"/>
          <w:szCs w:val="32"/>
        </w:rPr>
      </w:pPr>
      <w:r>
        <w:rPr>
          <w:rFonts w:ascii="Times New Roman" w:hAnsi="Times New Roman" w:eastAsia="楷体_GB2312"/>
          <w:b/>
          <w:bCs/>
          <w:sz w:val="32"/>
          <w:szCs w:val="32"/>
        </w:rPr>
        <w:t>（一）总体结论</w:t>
      </w:r>
    </w:p>
    <w:p w14:paraId="0400D675">
      <w:pPr>
        <w:pStyle w:val="10"/>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right="0"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2025年度，市审计局预算执行良好，年初设定的部门整体支出绩效目标全部完成，部门整体支出效益良好。全年机关日常运行经费支出18.13万元，审计业务外勤经费支出53.38万元，审计业务工作经费支出197.50万元。</w:t>
      </w:r>
    </w:p>
    <w:p w14:paraId="2100EDB6">
      <w:pPr>
        <w:keepNext w:val="0"/>
        <w:keepLines w:val="0"/>
        <w:pageBreakBefore w:val="0"/>
        <w:kinsoku/>
        <w:wordWrap/>
        <w:overflowPunct/>
        <w:topLinePunct w:val="0"/>
        <w:autoSpaceDE/>
        <w:autoSpaceDN/>
        <w:bidi w:val="0"/>
        <w:adjustRightInd/>
        <w:snapToGrid/>
        <w:spacing w:line="560" w:lineRule="exact"/>
        <w:ind w:right="0" w:firstLine="643" w:firstLineChars="200"/>
        <w:textAlignment w:val="auto"/>
        <w:rPr>
          <w:rFonts w:ascii="Times New Roman" w:hAnsi="Times New Roman" w:eastAsia="楷体_GB2312"/>
          <w:b/>
          <w:bCs/>
          <w:sz w:val="32"/>
          <w:szCs w:val="32"/>
        </w:rPr>
      </w:pPr>
      <w:r>
        <w:rPr>
          <w:rFonts w:ascii="Times New Roman" w:hAnsi="Times New Roman" w:eastAsia="楷体_GB2312"/>
          <w:b/>
          <w:bCs/>
          <w:sz w:val="32"/>
          <w:szCs w:val="32"/>
        </w:rPr>
        <w:t>（二）自评结果</w:t>
      </w:r>
    </w:p>
    <w:p w14:paraId="3A1362C4">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经自评，</w:t>
      </w:r>
      <w:r>
        <w:rPr>
          <w:rFonts w:hint="eastAsia" w:ascii="仿宋_GB2312" w:hAnsi="仿宋_GB2312" w:eastAsia="仿宋_GB2312" w:cs="仿宋_GB2312"/>
          <w:bCs/>
          <w:sz w:val="32"/>
          <w:szCs w:val="32"/>
        </w:rPr>
        <w:t>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color w:val="000000"/>
          <w:sz w:val="32"/>
          <w:szCs w:val="32"/>
        </w:rPr>
        <w:t>年度</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val="en-US" w:eastAsia="zh-CN"/>
        </w:rPr>
        <w:t>审计</w:t>
      </w:r>
      <w:r>
        <w:rPr>
          <w:rFonts w:hint="eastAsia" w:ascii="仿宋_GB2312" w:hAnsi="仿宋_GB2312" w:eastAsia="仿宋_GB2312" w:cs="仿宋_GB2312"/>
          <w:sz w:val="32"/>
          <w:szCs w:val="32"/>
        </w:rPr>
        <w:t>局部门整体支出</w:t>
      </w:r>
      <w:r>
        <w:rPr>
          <w:rFonts w:hint="eastAsia" w:ascii="仿宋_GB2312" w:hAnsi="仿宋_GB2312" w:eastAsia="仿宋_GB2312" w:cs="仿宋_GB2312"/>
          <w:color w:val="000000"/>
          <w:sz w:val="32"/>
          <w:szCs w:val="32"/>
        </w:rPr>
        <w:t>绩效自评综合得分为</w:t>
      </w:r>
      <w:r>
        <w:rPr>
          <w:rFonts w:hint="eastAsia" w:ascii="仿宋_GB2312" w:hAnsi="仿宋_GB2312" w:eastAsia="仿宋_GB2312" w:cs="仿宋_GB2312"/>
          <w:color w:val="000000"/>
          <w:sz w:val="32"/>
          <w:szCs w:val="32"/>
          <w:lang w:val="en-US" w:eastAsia="zh-CN"/>
        </w:rPr>
        <w:t>98.64</w:t>
      </w:r>
      <w:r>
        <w:rPr>
          <w:rFonts w:hint="eastAsia" w:ascii="仿宋_GB2312" w:hAnsi="仿宋_GB2312" w:eastAsia="仿宋_GB2312" w:cs="仿宋_GB2312"/>
          <w:color w:val="000000"/>
          <w:sz w:val="32"/>
          <w:szCs w:val="32"/>
        </w:rPr>
        <w:t>分，自评结果为“</w:t>
      </w:r>
      <w:r>
        <w:rPr>
          <w:rFonts w:hint="eastAsia" w:ascii="仿宋_GB2312" w:hAnsi="仿宋_GB2312" w:eastAsia="仿宋_GB2312" w:cs="仿宋_GB2312"/>
          <w:color w:val="000000"/>
          <w:sz w:val="32"/>
          <w:szCs w:val="32"/>
          <w:lang w:val="en-US" w:eastAsia="zh-CN"/>
        </w:rPr>
        <w:t>优</w:t>
      </w:r>
      <w:r>
        <w:rPr>
          <w:rFonts w:hint="eastAsia" w:ascii="仿宋_GB2312" w:hAnsi="仿宋_GB2312" w:eastAsia="仿宋_GB2312" w:cs="仿宋_GB2312"/>
          <w:color w:val="000000"/>
          <w:sz w:val="32"/>
          <w:szCs w:val="32"/>
        </w:rPr>
        <w:t>”。</w:t>
      </w:r>
    </w:p>
    <w:p w14:paraId="51FF2B7C">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ascii="Times New Roman" w:hAnsi="Times New Roman" w:eastAsia="黑体"/>
          <w:bCs/>
          <w:sz w:val="32"/>
          <w:szCs w:val="32"/>
        </w:rPr>
      </w:pPr>
      <w:r>
        <w:rPr>
          <w:rFonts w:ascii="Times New Roman" w:hAnsi="Times New Roman" w:eastAsia="黑体"/>
          <w:bCs/>
          <w:sz w:val="32"/>
          <w:szCs w:val="32"/>
        </w:rPr>
        <w:t>三、指标分析</w:t>
      </w:r>
    </w:p>
    <w:p w14:paraId="36F66E45">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ascii="Times New Roman" w:hAnsi="Times New Roman" w:eastAsia="仿宋_GB2312"/>
          <w:color w:val="000000"/>
          <w:sz w:val="32"/>
          <w:szCs w:val="32"/>
        </w:rPr>
      </w:pPr>
      <w:r>
        <w:rPr>
          <w:rFonts w:ascii="Times New Roman" w:hAnsi="Times New Roman" w:eastAsia="仿宋_GB2312"/>
          <w:bCs/>
          <w:sz w:val="32"/>
          <w:szCs w:val="32"/>
        </w:rPr>
        <w:t>202</w:t>
      </w:r>
      <w:r>
        <w:rPr>
          <w:rFonts w:hint="eastAsia" w:ascii="Times New Roman" w:hAnsi="Times New Roman" w:eastAsia="仿宋_GB2312"/>
          <w:bCs/>
          <w:sz w:val="32"/>
          <w:szCs w:val="32"/>
          <w:lang w:val="en-US" w:eastAsia="zh-CN"/>
        </w:rPr>
        <w:t>5</w:t>
      </w:r>
      <w:r>
        <w:rPr>
          <w:rFonts w:ascii="Times New Roman" w:hAnsi="Times New Roman" w:eastAsia="仿宋_GB2312"/>
          <w:color w:val="000000"/>
          <w:sz w:val="32"/>
          <w:szCs w:val="32"/>
        </w:rPr>
        <w:t>年度市</w:t>
      </w:r>
      <w:r>
        <w:rPr>
          <w:rFonts w:hint="eastAsia" w:ascii="Times New Roman" w:hAnsi="Times New Roman" w:eastAsia="仿宋_GB2312"/>
          <w:color w:val="000000"/>
          <w:sz w:val="32"/>
          <w:szCs w:val="32"/>
          <w:lang w:val="en-US" w:eastAsia="zh-CN"/>
        </w:rPr>
        <w:t>审计</w:t>
      </w:r>
      <w:r>
        <w:rPr>
          <w:rFonts w:ascii="Times New Roman" w:hAnsi="Times New Roman" w:eastAsia="仿宋_GB2312"/>
          <w:color w:val="000000"/>
          <w:sz w:val="32"/>
          <w:szCs w:val="32"/>
        </w:rPr>
        <w:t>局部门整体支出绩效自评指标体系共设置</w:t>
      </w:r>
      <w:r>
        <w:rPr>
          <w:rFonts w:hint="eastAsia" w:ascii="Times New Roman" w:hAnsi="Times New Roman" w:eastAsia="仿宋_GB2312"/>
          <w:bCs/>
          <w:sz w:val="32"/>
          <w:szCs w:val="32"/>
          <w:lang w:val="en-US" w:eastAsia="zh-CN"/>
        </w:rPr>
        <w:t>4</w:t>
      </w:r>
      <w:r>
        <w:rPr>
          <w:rFonts w:ascii="Times New Roman" w:hAnsi="Times New Roman" w:eastAsia="仿宋_GB2312"/>
          <w:color w:val="000000"/>
          <w:sz w:val="32"/>
          <w:szCs w:val="32"/>
        </w:rPr>
        <w:t>个一级指标，</w:t>
      </w:r>
      <w:r>
        <w:rPr>
          <w:rFonts w:hint="eastAsia" w:ascii="Times New Roman" w:hAnsi="Times New Roman" w:eastAsia="仿宋_GB2312"/>
          <w:color w:val="000000"/>
          <w:sz w:val="32"/>
          <w:szCs w:val="32"/>
          <w:lang w:val="en-US" w:eastAsia="zh-CN"/>
        </w:rPr>
        <w:t>9</w:t>
      </w:r>
      <w:r>
        <w:rPr>
          <w:rFonts w:ascii="Times New Roman" w:hAnsi="Times New Roman" w:eastAsia="仿宋_GB2312"/>
          <w:color w:val="000000"/>
          <w:sz w:val="32"/>
          <w:szCs w:val="32"/>
        </w:rPr>
        <w:t>个二级指标，</w:t>
      </w:r>
      <w:r>
        <w:rPr>
          <w:rFonts w:hint="eastAsia" w:ascii="Times New Roman" w:hAnsi="Times New Roman" w:eastAsia="仿宋_GB2312"/>
          <w:color w:val="000000"/>
          <w:sz w:val="32"/>
          <w:szCs w:val="32"/>
          <w:lang w:val="en-US" w:eastAsia="zh-CN"/>
        </w:rPr>
        <w:t>10</w:t>
      </w:r>
      <w:r>
        <w:rPr>
          <w:rFonts w:ascii="Times New Roman" w:hAnsi="Times New Roman" w:eastAsia="仿宋_GB2312"/>
          <w:color w:val="000000"/>
          <w:sz w:val="32"/>
          <w:szCs w:val="32"/>
        </w:rPr>
        <w:t>个三级指标，各项指标评分情况分析如下：</w:t>
      </w:r>
    </w:p>
    <w:p w14:paraId="02D90780">
      <w:pPr>
        <w:keepNext w:val="0"/>
        <w:keepLines w:val="0"/>
        <w:pageBreakBefore w:val="0"/>
        <w:kinsoku/>
        <w:wordWrap/>
        <w:overflowPunct/>
        <w:topLinePunct w:val="0"/>
        <w:autoSpaceDE/>
        <w:autoSpaceDN/>
        <w:bidi w:val="0"/>
        <w:adjustRightInd/>
        <w:snapToGrid/>
        <w:spacing w:line="560" w:lineRule="exact"/>
        <w:ind w:right="0" w:firstLine="643" w:firstLineChars="200"/>
        <w:textAlignment w:val="auto"/>
        <w:rPr>
          <w:rFonts w:ascii="Times New Roman" w:hAnsi="Times New Roman" w:eastAsia="楷体_GB2312"/>
          <w:b/>
          <w:bCs/>
          <w:sz w:val="32"/>
          <w:szCs w:val="32"/>
        </w:rPr>
      </w:pPr>
      <w:r>
        <w:rPr>
          <w:rFonts w:ascii="Times New Roman" w:hAnsi="Times New Roman" w:eastAsia="楷体_GB2312"/>
          <w:b/>
          <w:bCs/>
          <w:sz w:val="32"/>
          <w:szCs w:val="32"/>
        </w:rPr>
        <w:t>（一）预算执行率（满分10分，实得</w:t>
      </w:r>
      <w:r>
        <w:rPr>
          <w:rFonts w:hint="eastAsia" w:ascii="Times New Roman" w:hAnsi="Times New Roman" w:eastAsia="楷体_GB2312"/>
          <w:b/>
          <w:bCs/>
          <w:sz w:val="32"/>
          <w:szCs w:val="32"/>
          <w:lang w:val="en-US" w:eastAsia="zh-CN"/>
        </w:rPr>
        <w:t>10</w:t>
      </w:r>
      <w:r>
        <w:rPr>
          <w:rFonts w:ascii="Times New Roman" w:hAnsi="Times New Roman" w:eastAsia="楷体_GB2312"/>
          <w:b/>
          <w:bCs/>
          <w:sz w:val="32"/>
          <w:szCs w:val="32"/>
        </w:rPr>
        <w:t>分）</w:t>
      </w:r>
    </w:p>
    <w:p w14:paraId="0B63C358">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年市</w:t>
      </w:r>
      <w:r>
        <w:rPr>
          <w:rFonts w:hint="eastAsia" w:ascii="仿宋_GB2312" w:hAnsi="仿宋_GB2312" w:eastAsia="仿宋_GB2312" w:cs="仿宋_GB2312"/>
          <w:color w:val="000000"/>
          <w:sz w:val="32"/>
          <w:szCs w:val="32"/>
          <w:lang w:val="en-US" w:eastAsia="zh-CN"/>
        </w:rPr>
        <w:t>审计局</w:t>
      </w:r>
      <w:r>
        <w:rPr>
          <w:rFonts w:hint="eastAsia" w:ascii="仿宋_GB2312" w:hAnsi="仿宋_GB2312" w:eastAsia="仿宋_GB2312" w:cs="仿宋_GB2312"/>
          <w:color w:val="000000"/>
          <w:sz w:val="32"/>
          <w:szCs w:val="32"/>
        </w:rPr>
        <w:t>全年预算安排</w:t>
      </w:r>
      <w:r>
        <w:rPr>
          <w:rFonts w:hint="eastAsia" w:ascii="仿宋_GB2312" w:hAnsi="仿宋_GB2312" w:eastAsia="仿宋_GB2312" w:cs="仿宋_GB2312"/>
          <w:bCs/>
          <w:color w:val="auto"/>
          <w:sz w:val="32"/>
          <w:szCs w:val="32"/>
          <w:lang w:val="en-US" w:eastAsia="zh-CN"/>
        </w:rPr>
        <w:t>1612.88</w:t>
      </w:r>
      <w:r>
        <w:rPr>
          <w:rFonts w:hint="eastAsia" w:ascii="仿宋_GB2312" w:hAnsi="仿宋_GB2312" w:eastAsia="仿宋_GB2312" w:cs="仿宋_GB2312"/>
          <w:color w:val="000000"/>
          <w:sz w:val="32"/>
          <w:szCs w:val="32"/>
        </w:rPr>
        <w:t>万元，全年执行</w:t>
      </w:r>
      <w:r>
        <w:rPr>
          <w:rFonts w:hint="eastAsia" w:ascii="仿宋_GB2312" w:hAnsi="仿宋_GB2312" w:eastAsia="仿宋_GB2312" w:cs="仿宋_GB2312"/>
          <w:bCs/>
          <w:color w:val="auto"/>
          <w:sz w:val="32"/>
          <w:szCs w:val="32"/>
          <w:lang w:val="en-US" w:eastAsia="zh-CN"/>
        </w:rPr>
        <w:t>1612.88</w:t>
      </w:r>
      <w:r>
        <w:rPr>
          <w:rFonts w:hint="eastAsia" w:ascii="仿宋_GB2312" w:hAnsi="仿宋_GB2312" w:eastAsia="仿宋_GB2312" w:cs="仿宋_GB2312"/>
          <w:color w:val="000000"/>
          <w:sz w:val="32"/>
          <w:szCs w:val="32"/>
        </w:rPr>
        <w:t>万元，预算执行率</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%，得分</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分。</w:t>
      </w:r>
    </w:p>
    <w:p w14:paraId="1731E91F">
      <w:pPr>
        <w:keepNext w:val="0"/>
        <w:keepLines w:val="0"/>
        <w:pageBreakBefore w:val="0"/>
        <w:kinsoku/>
        <w:wordWrap/>
        <w:overflowPunct/>
        <w:topLinePunct w:val="0"/>
        <w:autoSpaceDE/>
        <w:autoSpaceDN/>
        <w:bidi w:val="0"/>
        <w:adjustRightInd/>
        <w:snapToGrid/>
        <w:spacing w:line="560" w:lineRule="exact"/>
        <w:ind w:right="0" w:firstLine="643" w:firstLineChars="200"/>
        <w:textAlignment w:val="auto"/>
        <w:rPr>
          <w:rFonts w:ascii="Times New Roman" w:hAnsi="Times New Roman" w:eastAsia="楷体_GB2312"/>
          <w:b/>
          <w:bCs/>
          <w:sz w:val="32"/>
          <w:szCs w:val="32"/>
        </w:rPr>
      </w:pPr>
      <w:r>
        <w:rPr>
          <w:rFonts w:ascii="Times New Roman" w:hAnsi="Times New Roman" w:eastAsia="楷体_GB2312"/>
          <w:b/>
          <w:bCs/>
          <w:sz w:val="32"/>
          <w:szCs w:val="32"/>
        </w:rPr>
        <w:t>（二）产出指标（满分</w:t>
      </w:r>
      <w:r>
        <w:rPr>
          <w:rFonts w:hint="eastAsia" w:ascii="Times New Roman" w:hAnsi="Times New Roman" w:eastAsia="楷体_GB2312"/>
          <w:b/>
          <w:bCs/>
          <w:sz w:val="32"/>
          <w:szCs w:val="32"/>
          <w:lang w:val="en-US" w:eastAsia="zh-CN"/>
        </w:rPr>
        <w:t>5</w:t>
      </w:r>
      <w:r>
        <w:rPr>
          <w:rFonts w:ascii="Times New Roman" w:hAnsi="Times New Roman" w:eastAsia="楷体_GB2312"/>
          <w:b/>
          <w:bCs/>
          <w:sz w:val="32"/>
          <w:szCs w:val="32"/>
        </w:rPr>
        <w:t>0分，实得</w:t>
      </w:r>
      <w:r>
        <w:rPr>
          <w:rFonts w:hint="default" w:ascii="Times New Roman" w:hAnsi="Times New Roman" w:eastAsia="楷体_GB2312"/>
          <w:b/>
          <w:bCs/>
          <w:sz w:val="32"/>
          <w:szCs w:val="32"/>
          <w:lang w:val="en" w:eastAsia="zh-CN"/>
        </w:rPr>
        <w:t>50</w:t>
      </w:r>
      <w:r>
        <w:rPr>
          <w:rFonts w:ascii="Times New Roman" w:hAnsi="Times New Roman" w:eastAsia="楷体_GB2312"/>
          <w:b/>
          <w:bCs/>
          <w:sz w:val="32"/>
          <w:szCs w:val="32"/>
        </w:rPr>
        <w:t>分）</w:t>
      </w:r>
    </w:p>
    <w:p w14:paraId="60929AA1">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1.</w:t>
      </w:r>
      <w:r>
        <w:rPr>
          <w:rFonts w:hint="eastAsia" w:ascii="仿宋_GB2312" w:hAnsi="仿宋_GB2312" w:eastAsia="仿宋_GB2312" w:cs="仿宋_GB2312"/>
          <w:bCs/>
          <w:sz w:val="32"/>
          <w:szCs w:val="32"/>
          <w:lang w:val="en-US" w:eastAsia="zh-CN"/>
        </w:rPr>
        <w:t>数量指标（满分15分，实得15分）</w:t>
      </w:r>
    </w:p>
    <w:p w14:paraId="66BD6576">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Cs/>
          <w:sz w:val="32"/>
          <w:szCs w:val="32"/>
          <w:lang w:val="en-US" w:eastAsia="zh-CN"/>
        </w:rPr>
        <w:t>（1）开展审计项目数量</w:t>
      </w:r>
      <w:r>
        <w:rPr>
          <w:rFonts w:hint="eastAsia" w:ascii="仿宋_GB2312" w:hAnsi="仿宋_GB2312" w:eastAsia="仿宋_GB2312" w:cs="仿宋_GB2312"/>
          <w:bCs/>
          <w:sz w:val="32"/>
          <w:szCs w:val="32"/>
        </w:rPr>
        <w:t>（满分</w:t>
      </w:r>
      <w:r>
        <w:rPr>
          <w:rFonts w:hint="eastAsia" w:ascii="仿宋_GB2312" w:hAnsi="仿宋_GB2312" w:eastAsia="仿宋_GB2312" w:cs="仿宋_GB2312"/>
          <w:bCs/>
          <w:sz w:val="32"/>
          <w:szCs w:val="32"/>
          <w:lang w:val="en-US" w:eastAsia="zh-CN"/>
        </w:rPr>
        <w:t>15</w:t>
      </w:r>
      <w:r>
        <w:rPr>
          <w:rFonts w:hint="eastAsia" w:ascii="仿宋_GB2312" w:hAnsi="仿宋_GB2312" w:eastAsia="仿宋_GB2312" w:cs="仿宋_GB2312"/>
          <w:bCs/>
          <w:sz w:val="32"/>
          <w:szCs w:val="32"/>
        </w:rPr>
        <w:t>分</w:t>
      </w:r>
      <w:r>
        <w:rPr>
          <w:rFonts w:hint="eastAsia" w:ascii="仿宋_GB2312" w:hAnsi="仿宋_GB2312" w:eastAsia="仿宋_GB2312" w:cs="仿宋_GB2312"/>
          <w:color w:val="000000"/>
          <w:sz w:val="32"/>
          <w:szCs w:val="32"/>
        </w:rPr>
        <w:t>，实得</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分）</w:t>
      </w:r>
    </w:p>
    <w:p w14:paraId="7FF1132B">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审计项目计划为年初制定，充分考虑审计全覆盖要求，以及我市审计工作实际情况。按照市委、市政府工作部署，认真完成市委、市政府交办的审计任务。</w:t>
      </w:r>
    </w:p>
    <w:p w14:paraId="56E1A1FE">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2.质量指标（满分15分，实得15分）</w:t>
      </w:r>
    </w:p>
    <w:p w14:paraId="49E6A659">
      <w:pPr>
        <w:pStyle w:val="2"/>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（1）审计报告合格率（满分15分，实得15分）</w:t>
      </w:r>
    </w:p>
    <w:p w14:paraId="3F457752">
      <w:pPr>
        <w:pStyle w:val="2"/>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立足经济监督定位，紧扣高质量发展首要任务，以有力有效的审计监督服务保障淮南经济社会发展大局，聚焦违规问题、损失浪费问题、管理不规范问题，不断提升审计报告质量，审计报告合格率得到充分保障</w:t>
      </w:r>
      <w:r>
        <w:rPr>
          <w:rFonts w:ascii="Times New Roman" w:hAnsi="Times New Roman" w:eastAsia="仿宋_GB2312"/>
          <w:sz w:val="32"/>
          <w:szCs w:val="32"/>
        </w:rPr>
        <w:t>。</w:t>
      </w:r>
    </w:p>
    <w:p w14:paraId="106415B7">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3.时效指标（满分10分，实得10分）</w:t>
      </w:r>
    </w:p>
    <w:p w14:paraId="6F3AC826">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Cs/>
          <w:sz w:val="32"/>
          <w:szCs w:val="32"/>
          <w:lang w:val="en-US" w:eastAsia="zh-CN"/>
        </w:rPr>
        <w:t>（1）项目完成时效</w:t>
      </w:r>
      <w:r>
        <w:rPr>
          <w:rFonts w:hint="eastAsia" w:ascii="仿宋_GB2312" w:hAnsi="仿宋_GB2312" w:eastAsia="仿宋_GB2312" w:cs="仿宋_GB2312"/>
          <w:bCs/>
          <w:sz w:val="32"/>
          <w:szCs w:val="32"/>
        </w:rPr>
        <w:t>（满分</w:t>
      </w:r>
      <w:r>
        <w:rPr>
          <w:rFonts w:hint="eastAsia" w:ascii="仿宋_GB2312" w:hAnsi="仿宋_GB2312" w:eastAsia="仿宋_GB2312" w:cs="仿宋_GB2312"/>
          <w:bCs/>
          <w:sz w:val="32"/>
          <w:szCs w:val="32"/>
          <w:lang w:val="en-US" w:eastAsia="zh-CN"/>
        </w:rPr>
        <w:t>10</w:t>
      </w:r>
      <w:r>
        <w:rPr>
          <w:rFonts w:hint="eastAsia" w:ascii="仿宋_GB2312" w:hAnsi="仿宋_GB2312" w:eastAsia="仿宋_GB2312" w:cs="仿宋_GB2312"/>
          <w:bCs/>
          <w:sz w:val="32"/>
          <w:szCs w:val="32"/>
        </w:rPr>
        <w:t>分</w:t>
      </w:r>
      <w:r>
        <w:rPr>
          <w:rFonts w:hint="eastAsia" w:ascii="仿宋_GB2312" w:hAnsi="仿宋_GB2312" w:eastAsia="仿宋_GB2312" w:cs="仿宋_GB2312"/>
          <w:color w:val="000000"/>
          <w:sz w:val="32"/>
          <w:szCs w:val="32"/>
        </w:rPr>
        <w:t>，实得</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分）</w:t>
      </w:r>
    </w:p>
    <w:p w14:paraId="123DD54A">
      <w:pPr>
        <w:pStyle w:val="2"/>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按照年初制定的工作计划，圆满完成了全年工作任务和绩效目标，年底前高质量完成了审计工作任务，按照规定时间节点出具审计报告。截止时间达成预期目标。</w:t>
      </w:r>
    </w:p>
    <w:p w14:paraId="5642B684">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4.成本指标（满分10分，实得10分）</w:t>
      </w:r>
    </w:p>
    <w:p w14:paraId="1FBC149A">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（1）项目支出（满分10分，实得10分）</w:t>
      </w:r>
    </w:p>
    <w:p w14:paraId="614EFD4B">
      <w:pPr>
        <w:pStyle w:val="2"/>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default" w:ascii="仿宋_GB2312" w:hAnsi="仿宋_GB2312" w:eastAsia="仿宋_GB2312" w:cs="仿宋_GB2312"/>
          <w:color w:val="000000"/>
          <w:sz w:val="32"/>
          <w:szCs w:val="32"/>
          <w:lang w:val="en-US" w:eastAsia="zh-CN"/>
        </w:rPr>
      </w:pPr>
      <w:r>
        <w:rPr>
          <w:rFonts w:hint="eastAsia" w:eastAsia="仿宋_GB2312"/>
          <w:sz w:val="32"/>
          <w:szCs w:val="32"/>
          <w:lang w:val="en-US" w:eastAsia="zh-CN"/>
        </w:rPr>
        <w:t>严格按照预算支出，所有审计项目支出均纳入年初部门预算</w:t>
      </w:r>
      <w:r>
        <w:rPr>
          <w:rFonts w:hint="eastAsia" w:ascii="Times New Roman" w:hAnsi="Times New Roman" w:eastAsia="仿宋_GB2312"/>
          <w:sz w:val="32"/>
          <w:szCs w:val="32"/>
          <w:lang w:val="en-US" w:eastAsia="zh-CN"/>
        </w:rPr>
        <w:t>。</w:t>
      </w:r>
    </w:p>
    <w:p w14:paraId="35048863">
      <w:pPr>
        <w:keepNext w:val="0"/>
        <w:keepLines w:val="0"/>
        <w:pageBreakBefore w:val="0"/>
        <w:kinsoku/>
        <w:wordWrap/>
        <w:overflowPunct/>
        <w:topLinePunct w:val="0"/>
        <w:autoSpaceDE/>
        <w:autoSpaceDN/>
        <w:bidi w:val="0"/>
        <w:adjustRightInd/>
        <w:snapToGrid/>
        <w:spacing w:line="560" w:lineRule="exact"/>
        <w:ind w:right="0" w:firstLine="643" w:firstLineChars="200"/>
        <w:textAlignment w:val="auto"/>
        <w:rPr>
          <w:rFonts w:ascii="Times New Roman" w:hAnsi="Times New Roman" w:eastAsia="楷体_GB2312"/>
          <w:b/>
          <w:bCs/>
          <w:sz w:val="32"/>
          <w:szCs w:val="32"/>
        </w:rPr>
      </w:pPr>
      <w:r>
        <w:rPr>
          <w:rFonts w:ascii="Times New Roman" w:hAnsi="Times New Roman" w:eastAsia="楷体_GB2312"/>
          <w:b/>
          <w:bCs/>
          <w:sz w:val="32"/>
          <w:szCs w:val="32"/>
        </w:rPr>
        <w:t>（三）效益指标（满分</w:t>
      </w:r>
      <w:r>
        <w:rPr>
          <w:rFonts w:hint="eastAsia" w:ascii="Times New Roman" w:hAnsi="Times New Roman" w:eastAsia="楷体_GB2312"/>
          <w:b/>
          <w:bCs/>
          <w:sz w:val="32"/>
          <w:szCs w:val="32"/>
          <w:lang w:val="en-US" w:eastAsia="zh-CN"/>
        </w:rPr>
        <w:t>30</w:t>
      </w:r>
      <w:r>
        <w:rPr>
          <w:rFonts w:ascii="Times New Roman" w:hAnsi="Times New Roman" w:eastAsia="楷体_GB2312"/>
          <w:b/>
          <w:bCs/>
          <w:sz w:val="32"/>
          <w:szCs w:val="32"/>
        </w:rPr>
        <w:t>分，实得</w:t>
      </w:r>
      <w:r>
        <w:rPr>
          <w:rFonts w:hint="eastAsia" w:ascii="Times New Roman" w:hAnsi="Times New Roman" w:eastAsia="楷体_GB2312"/>
          <w:b/>
          <w:bCs/>
          <w:sz w:val="32"/>
          <w:szCs w:val="32"/>
          <w:lang w:val="en-US" w:eastAsia="zh-CN"/>
        </w:rPr>
        <w:t>30</w:t>
      </w:r>
      <w:r>
        <w:rPr>
          <w:rFonts w:ascii="Times New Roman" w:hAnsi="Times New Roman" w:eastAsia="楷体_GB2312"/>
          <w:b/>
          <w:bCs/>
          <w:sz w:val="32"/>
          <w:szCs w:val="32"/>
        </w:rPr>
        <w:t>分）</w:t>
      </w:r>
    </w:p>
    <w:p w14:paraId="4FF4DA9E">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1.经济效益指标（满分</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分，实得</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分）</w:t>
      </w:r>
    </w:p>
    <w:p w14:paraId="22FAB96B">
      <w:pPr>
        <w:pStyle w:val="2"/>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经济发展类审计成果</w:t>
      </w:r>
      <w:r>
        <w:rPr>
          <w:rFonts w:hint="eastAsia" w:ascii="仿宋_GB2312" w:hAnsi="仿宋_GB2312" w:eastAsia="仿宋_GB2312" w:cs="仿宋_GB2312"/>
          <w:color w:val="000000"/>
          <w:sz w:val="32"/>
          <w:szCs w:val="32"/>
        </w:rPr>
        <w:t>（满分</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分，实得</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分）</w:t>
      </w:r>
    </w:p>
    <w:p w14:paraId="5BA78655">
      <w:pPr>
        <w:pStyle w:val="2"/>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rPr>
        <w:t>全市审计机关聚焦</w:t>
      </w:r>
      <w:r>
        <w:rPr>
          <w:rFonts w:hint="eastAsia" w:ascii="仿宋_GB2312" w:hAnsi="仿宋_GB2312" w:eastAsia="仿宋_GB2312" w:cs="仿宋_GB2312"/>
          <w:color w:val="000000"/>
          <w:sz w:val="32"/>
          <w:szCs w:val="32"/>
          <w:lang w:eastAsia="zh-CN"/>
        </w:rPr>
        <w:t>经济发展领域开展审计监督，密切关注财政、国资国企等关键领域重大改革任务进展和落实情况。经济发展方面的审计报告、审计要情、审计专报取得显著成果</w:t>
      </w:r>
      <w:r>
        <w:rPr>
          <w:rFonts w:hint="eastAsia" w:ascii="仿宋_GB2312" w:hAnsi="仿宋_GB2312" w:eastAsia="仿宋_GB2312" w:cs="仿宋_GB2312"/>
          <w:color w:val="000000"/>
          <w:sz w:val="32"/>
          <w:szCs w:val="32"/>
        </w:rPr>
        <w:t>。</w:t>
      </w:r>
    </w:p>
    <w:p w14:paraId="6DACAEED">
      <w:pPr>
        <w:keepNext w:val="0"/>
        <w:keepLines w:val="0"/>
        <w:pageBreakBefore w:val="0"/>
        <w:numPr>
          <w:ilvl w:val="0"/>
          <w:numId w:val="0"/>
        </w:numPr>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社会效益指标（满分</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分，实得</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分）</w:t>
      </w:r>
    </w:p>
    <w:p w14:paraId="7A13E382">
      <w:pPr>
        <w:pStyle w:val="2"/>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（1）社会保障类审计成果（满分10分，实得10分）</w:t>
      </w:r>
    </w:p>
    <w:p w14:paraId="111D19BF">
      <w:pPr>
        <w:pStyle w:val="2"/>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全市审计机关聚焦</w:t>
      </w:r>
      <w:r>
        <w:rPr>
          <w:rFonts w:hint="eastAsia" w:ascii="仿宋_GB2312" w:hAnsi="仿宋_GB2312" w:eastAsia="仿宋_GB2312" w:cs="仿宋_GB2312"/>
          <w:color w:val="000000"/>
          <w:sz w:val="32"/>
          <w:szCs w:val="32"/>
          <w:lang w:eastAsia="zh-CN"/>
        </w:rPr>
        <w:t>社会保障和民生领域开展审计监督，组织开展涉农、养老、棚户区改造等民生审计。社会保障和民生方面的审计报告、审计要情、审计专报取得显著成果</w:t>
      </w:r>
      <w:r>
        <w:rPr>
          <w:rFonts w:hint="eastAsia" w:ascii="仿宋_GB2312" w:hAnsi="仿宋_GB2312" w:eastAsia="仿宋_GB2312" w:cs="仿宋_GB2312"/>
          <w:color w:val="000000"/>
          <w:sz w:val="32"/>
          <w:szCs w:val="32"/>
        </w:rPr>
        <w:t>。</w:t>
      </w:r>
    </w:p>
    <w:p w14:paraId="4CDFBA62">
      <w:pPr>
        <w:keepNext w:val="0"/>
        <w:keepLines w:val="0"/>
        <w:pageBreakBefore w:val="0"/>
        <w:numPr>
          <w:ilvl w:val="0"/>
          <w:numId w:val="0"/>
        </w:numPr>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生态效益指标（满分</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分，实得</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分）</w:t>
      </w:r>
    </w:p>
    <w:p w14:paraId="0801AEB9">
      <w:pPr>
        <w:pStyle w:val="2"/>
        <w:keepNext w:val="0"/>
        <w:keepLines w:val="0"/>
        <w:pageBreakBefore w:val="0"/>
        <w:numPr>
          <w:ilvl w:val="0"/>
          <w:numId w:val="0"/>
        </w:numPr>
        <w:kinsoku/>
        <w:wordWrap/>
        <w:overflowPunct/>
        <w:topLinePunct w:val="0"/>
        <w:autoSpaceDE/>
        <w:autoSpaceDN/>
        <w:bidi w:val="0"/>
        <w:adjustRightInd/>
        <w:snapToGrid/>
        <w:spacing w:line="560" w:lineRule="exact"/>
        <w:ind w:right="0"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生态环境类审计成果</w:t>
      </w:r>
      <w:r>
        <w:rPr>
          <w:rFonts w:hint="eastAsia" w:ascii="仿宋_GB2312" w:hAnsi="仿宋_GB2312" w:eastAsia="仿宋_GB2312" w:cs="仿宋_GB2312"/>
          <w:color w:val="000000"/>
          <w:sz w:val="32"/>
          <w:szCs w:val="32"/>
        </w:rPr>
        <w:t>（满分</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分，实得</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分）</w:t>
      </w:r>
    </w:p>
    <w:p w14:paraId="2F19A44D">
      <w:pPr>
        <w:pStyle w:val="2"/>
        <w:keepNext w:val="0"/>
        <w:keepLines w:val="0"/>
        <w:pageBreakBefore w:val="0"/>
        <w:numPr>
          <w:ilvl w:val="0"/>
          <w:numId w:val="0"/>
        </w:numPr>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全市审计机关聚焦</w:t>
      </w:r>
      <w:r>
        <w:rPr>
          <w:rFonts w:hint="eastAsia" w:ascii="仿宋_GB2312" w:hAnsi="仿宋_GB2312" w:eastAsia="仿宋_GB2312" w:cs="仿宋_GB2312"/>
          <w:color w:val="000000"/>
          <w:sz w:val="32"/>
          <w:szCs w:val="32"/>
          <w:lang w:eastAsia="zh-CN"/>
        </w:rPr>
        <w:t>生态环境领域</w:t>
      </w:r>
      <w:r>
        <w:rPr>
          <w:rFonts w:hint="eastAsia" w:ascii="仿宋_GB2312" w:hAnsi="仿宋_GB2312" w:eastAsia="仿宋_GB2312" w:cs="仿宋_GB2312"/>
          <w:color w:val="000000"/>
          <w:sz w:val="32"/>
          <w:szCs w:val="32"/>
        </w:rPr>
        <w:t>开展审计监督，组织开展</w:t>
      </w:r>
      <w:r>
        <w:rPr>
          <w:rFonts w:hint="eastAsia" w:ascii="仿宋_GB2312" w:hAnsi="仿宋_GB2312" w:eastAsia="仿宋_GB2312" w:cs="仿宋_GB2312"/>
          <w:color w:val="000000"/>
          <w:sz w:val="32"/>
          <w:szCs w:val="32"/>
          <w:lang w:eastAsia="zh-CN"/>
        </w:rPr>
        <w:t>领导干部自然资源资产</w:t>
      </w:r>
      <w:r>
        <w:rPr>
          <w:rFonts w:hint="eastAsia" w:ascii="仿宋_GB2312" w:hAnsi="仿宋_GB2312" w:eastAsia="仿宋_GB2312" w:cs="仿宋_GB2312"/>
          <w:color w:val="000000"/>
          <w:sz w:val="32"/>
          <w:szCs w:val="32"/>
        </w:rPr>
        <w:t>审计。</w:t>
      </w:r>
      <w:r>
        <w:rPr>
          <w:rFonts w:hint="eastAsia" w:ascii="仿宋_GB2312" w:hAnsi="仿宋_GB2312" w:eastAsia="仿宋_GB2312" w:cs="仿宋_GB2312"/>
          <w:color w:val="000000"/>
          <w:sz w:val="32"/>
          <w:szCs w:val="32"/>
          <w:lang w:eastAsia="zh-CN"/>
        </w:rPr>
        <w:t>生态环境保护</w:t>
      </w:r>
      <w:r>
        <w:rPr>
          <w:rFonts w:hint="eastAsia" w:ascii="仿宋_GB2312" w:hAnsi="仿宋_GB2312" w:eastAsia="仿宋_GB2312" w:cs="仿宋_GB2312"/>
          <w:color w:val="000000"/>
          <w:sz w:val="32"/>
          <w:szCs w:val="32"/>
        </w:rPr>
        <w:t>方面的审计报告、审计要情、审计专报取得显著成果。</w:t>
      </w:r>
    </w:p>
    <w:p w14:paraId="4AB465F1">
      <w:pPr>
        <w:keepNext w:val="0"/>
        <w:keepLines w:val="0"/>
        <w:pageBreakBefore w:val="0"/>
        <w:numPr>
          <w:ilvl w:val="0"/>
          <w:numId w:val="0"/>
        </w:numPr>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可持续影响（满分</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分，实得</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分）</w:t>
      </w:r>
    </w:p>
    <w:p w14:paraId="61128F20">
      <w:pPr>
        <w:pStyle w:val="2"/>
        <w:keepNext w:val="0"/>
        <w:keepLines w:val="0"/>
        <w:pageBreakBefore w:val="0"/>
        <w:numPr>
          <w:ilvl w:val="0"/>
          <w:numId w:val="0"/>
        </w:numPr>
        <w:kinsoku/>
        <w:wordWrap/>
        <w:overflowPunct/>
        <w:topLinePunct w:val="0"/>
        <w:autoSpaceDE/>
        <w:autoSpaceDN/>
        <w:bidi w:val="0"/>
        <w:adjustRightInd/>
        <w:snapToGrid/>
        <w:spacing w:line="560" w:lineRule="exact"/>
        <w:ind w:right="0"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可持续发展类审计成果</w:t>
      </w:r>
      <w:r>
        <w:rPr>
          <w:rFonts w:hint="eastAsia" w:ascii="仿宋_GB2312" w:hAnsi="仿宋_GB2312" w:eastAsia="仿宋_GB2312" w:cs="仿宋_GB2312"/>
          <w:color w:val="000000"/>
          <w:sz w:val="32"/>
          <w:szCs w:val="32"/>
        </w:rPr>
        <w:t>（满分</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分，实得</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分）</w:t>
      </w:r>
    </w:p>
    <w:p w14:paraId="07BA96FA">
      <w:pPr>
        <w:pStyle w:val="2"/>
        <w:keepNext w:val="0"/>
        <w:keepLines w:val="0"/>
        <w:pageBreakBefore w:val="0"/>
        <w:numPr>
          <w:ilvl w:val="0"/>
          <w:numId w:val="0"/>
        </w:numPr>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全市审计机关聚焦</w:t>
      </w:r>
      <w:r>
        <w:rPr>
          <w:rFonts w:hint="eastAsia" w:ascii="仿宋_GB2312" w:hAnsi="仿宋_GB2312" w:eastAsia="仿宋_GB2312" w:cs="仿宋_GB2312"/>
          <w:color w:val="000000"/>
          <w:sz w:val="32"/>
          <w:szCs w:val="32"/>
          <w:lang w:eastAsia="zh-CN"/>
        </w:rPr>
        <w:t>可持续发展领域</w:t>
      </w:r>
      <w:r>
        <w:rPr>
          <w:rFonts w:hint="eastAsia" w:ascii="仿宋_GB2312" w:hAnsi="仿宋_GB2312" w:eastAsia="仿宋_GB2312" w:cs="仿宋_GB2312"/>
          <w:color w:val="000000"/>
          <w:sz w:val="32"/>
          <w:szCs w:val="32"/>
        </w:rPr>
        <w:t>开展审计监督，开展全市绿色低碳产业发展政策落实专项审计，揭示了部分绿色转型工作推进不到位</w:t>
      </w:r>
      <w:r>
        <w:rPr>
          <w:rFonts w:hint="eastAsia" w:ascii="仿宋_GB2312" w:hAnsi="仿宋_GB2312" w:eastAsia="仿宋_GB2312" w:cs="仿宋_GB2312"/>
          <w:color w:val="000000"/>
          <w:sz w:val="32"/>
          <w:szCs w:val="32"/>
          <w:lang w:eastAsia="zh-CN"/>
        </w:rPr>
        <w:t>问题</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可持续发展</w:t>
      </w:r>
      <w:r>
        <w:rPr>
          <w:rFonts w:hint="eastAsia" w:ascii="仿宋_GB2312" w:hAnsi="仿宋_GB2312" w:eastAsia="仿宋_GB2312" w:cs="仿宋_GB2312"/>
          <w:color w:val="000000"/>
          <w:sz w:val="32"/>
          <w:szCs w:val="32"/>
        </w:rPr>
        <w:t>方面的审计报告、审计要情、审计专报取得显著成果。</w:t>
      </w:r>
    </w:p>
    <w:p w14:paraId="15D65BB7">
      <w:pPr>
        <w:keepNext w:val="0"/>
        <w:keepLines w:val="0"/>
        <w:pageBreakBefore w:val="0"/>
        <w:kinsoku/>
        <w:wordWrap/>
        <w:overflowPunct/>
        <w:topLinePunct w:val="0"/>
        <w:autoSpaceDE/>
        <w:autoSpaceDN/>
        <w:bidi w:val="0"/>
        <w:adjustRightInd/>
        <w:snapToGrid/>
        <w:spacing w:line="560" w:lineRule="exact"/>
        <w:ind w:right="0" w:firstLine="643" w:firstLineChars="200"/>
        <w:textAlignment w:val="auto"/>
        <w:rPr>
          <w:rFonts w:ascii="Times New Roman" w:hAnsi="Times New Roman" w:eastAsia="楷体_GB2312"/>
          <w:b/>
          <w:bCs/>
          <w:sz w:val="32"/>
          <w:szCs w:val="32"/>
        </w:rPr>
      </w:pPr>
      <w:r>
        <w:rPr>
          <w:rFonts w:ascii="Times New Roman" w:hAnsi="Times New Roman" w:eastAsia="楷体_GB2312"/>
          <w:b/>
          <w:bCs/>
          <w:sz w:val="32"/>
          <w:szCs w:val="32"/>
        </w:rPr>
        <w:t>（</w:t>
      </w:r>
      <w:r>
        <w:rPr>
          <w:rFonts w:hint="eastAsia" w:ascii="Times New Roman" w:hAnsi="Times New Roman" w:eastAsia="楷体_GB2312"/>
          <w:b/>
          <w:bCs/>
          <w:sz w:val="32"/>
          <w:szCs w:val="32"/>
          <w:lang w:val="en-US" w:eastAsia="zh-CN"/>
        </w:rPr>
        <w:t>四</w:t>
      </w:r>
      <w:r>
        <w:rPr>
          <w:rFonts w:ascii="Times New Roman" w:hAnsi="Times New Roman" w:eastAsia="楷体_GB2312"/>
          <w:b/>
          <w:bCs/>
          <w:sz w:val="32"/>
          <w:szCs w:val="32"/>
        </w:rPr>
        <w:t>）</w:t>
      </w:r>
      <w:r>
        <w:rPr>
          <w:rFonts w:hint="eastAsia" w:ascii="Times New Roman" w:hAnsi="Times New Roman" w:eastAsia="楷体_GB2312"/>
          <w:b/>
          <w:bCs/>
          <w:sz w:val="32"/>
          <w:szCs w:val="32"/>
          <w:lang w:val="en-US" w:eastAsia="zh-CN"/>
        </w:rPr>
        <w:t>满意度</w:t>
      </w:r>
      <w:r>
        <w:rPr>
          <w:rFonts w:ascii="Times New Roman" w:hAnsi="Times New Roman" w:eastAsia="楷体_GB2312"/>
          <w:b/>
          <w:bCs/>
          <w:sz w:val="32"/>
          <w:szCs w:val="32"/>
        </w:rPr>
        <w:t>指标（满分</w:t>
      </w:r>
      <w:r>
        <w:rPr>
          <w:rFonts w:hint="eastAsia" w:ascii="Times New Roman" w:hAnsi="Times New Roman" w:eastAsia="楷体_GB2312"/>
          <w:b/>
          <w:bCs/>
          <w:sz w:val="32"/>
          <w:szCs w:val="32"/>
          <w:lang w:val="en-US" w:eastAsia="zh-CN"/>
        </w:rPr>
        <w:t>10</w:t>
      </w:r>
      <w:r>
        <w:rPr>
          <w:rFonts w:ascii="Times New Roman" w:hAnsi="Times New Roman" w:eastAsia="楷体_GB2312"/>
          <w:b/>
          <w:bCs/>
          <w:sz w:val="32"/>
          <w:szCs w:val="32"/>
        </w:rPr>
        <w:t>分，实得</w:t>
      </w:r>
      <w:r>
        <w:rPr>
          <w:rFonts w:hint="eastAsia" w:ascii="Times New Roman" w:hAnsi="Times New Roman" w:eastAsia="楷体_GB2312"/>
          <w:b/>
          <w:bCs/>
          <w:sz w:val="32"/>
          <w:szCs w:val="32"/>
          <w:lang w:val="en-US" w:eastAsia="zh-CN"/>
        </w:rPr>
        <w:t>10</w:t>
      </w:r>
      <w:r>
        <w:rPr>
          <w:rFonts w:ascii="Times New Roman" w:hAnsi="Times New Roman" w:eastAsia="楷体_GB2312"/>
          <w:b/>
          <w:bCs/>
          <w:sz w:val="32"/>
          <w:szCs w:val="32"/>
        </w:rPr>
        <w:t>分）</w:t>
      </w:r>
    </w:p>
    <w:p w14:paraId="05081C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满意度指标</w:t>
      </w:r>
      <w:r>
        <w:rPr>
          <w:rFonts w:hint="eastAsia" w:ascii="仿宋_GB2312" w:hAnsi="仿宋_GB2312" w:eastAsia="仿宋_GB2312" w:cs="仿宋_GB2312"/>
          <w:color w:val="000000"/>
          <w:sz w:val="32"/>
          <w:szCs w:val="32"/>
        </w:rPr>
        <w:t>（满分</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分，实得</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分）</w:t>
      </w:r>
    </w:p>
    <w:p w14:paraId="216C318E">
      <w:pPr>
        <w:pStyle w:val="2"/>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sz w:val="32"/>
          <w:szCs w:val="32"/>
          <w:lang w:val="en-US" w:eastAsia="zh-CN"/>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eastAsia="zh-CN"/>
        </w:rPr>
        <w:t>）服务对象</w:t>
      </w:r>
      <w:r>
        <w:rPr>
          <w:rFonts w:hint="eastAsia" w:ascii="仿宋_GB2312" w:hAnsi="仿宋_GB2312" w:eastAsia="仿宋_GB2312" w:cs="仿宋_GB2312"/>
          <w:color w:val="000000"/>
          <w:sz w:val="32"/>
          <w:szCs w:val="32"/>
          <w:lang w:val="en-US" w:eastAsia="zh-CN"/>
        </w:rPr>
        <w:t>满意度</w:t>
      </w:r>
      <w:r>
        <w:rPr>
          <w:rFonts w:hint="eastAsia" w:ascii="仿宋_GB2312" w:hAnsi="仿宋_GB2312" w:eastAsia="仿宋_GB2312" w:cs="仿宋_GB2312"/>
          <w:color w:val="000000"/>
          <w:sz w:val="32"/>
          <w:szCs w:val="32"/>
        </w:rPr>
        <w:t>（满分</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分，实得</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分）</w:t>
      </w:r>
    </w:p>
    <w:p w14:paraId="190EEC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通过畅通信访渠道，全市党员、干部、群众对审计工作的满意度较高。在审前、审中、审后的廉政监督中，未发现被审计对象反映审计人员廉政问题。满意度100%。</w:t>
      </w:r>
    </w:p>
    <w:p w14:paraId="0234C493">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ascii="Times New Roman" w:hAnsi="Times New Roman" w:eastAsia="黑体"/>
          <w:bCs/>
          <w:sz w:val="32"/>
          <w:szCs w:val="32"/>
        </w:rPr>
      </w:pPr>
      <w:r>
        <w:rPr>
          <w:rFonts w:ascii="Times New Roman" w:hAnsi="Times New Roman" w:eastAsia="黑体"/>
          <w:bCs/>
          <w:sz w:val="32"/>
          <w:szCs w:val="32"/>
        </w:rPr>
        <w:t>四、存在问题</w:t>
      </w:r>
    </w:p>
    <w:p w14:paraId="01E5EF63">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通过</w:t>
      </w:r>
      <w:r>
        <w:rPr>
          <w:rFonts w:hint="eastAsia" w:ascii="Times New Roman" w:hAnsi="Times New Roman" w:eastAsia="仿宋_GB2312"/>
          <w:color w:val="000000"/>
          <w:sz w:val="32"/>
          <w:szCs w:val="32"/>
        </w:rPr>
        <w:t>评价</w:t>
      </w:r>
      <w:r>
        <w:rPr>
          <w:rFonts w:ascii="Times New Roman" w:hAnsi="Times New Roman" w:eastAsia="仿宋_GB2312"/>
          <w:color w:val="000000"/>
          <w:sz w:val="32"/>
          <w:szCs w:val="32"/>
        </w:rPr>
        <w:t>发现，202</w:t>
      </w:r>
      <w:r>
        <w:rPr>
          <w:rFonts w:hint="eastAsia" w:ascii="Times New Roman" w:hAnsi="Times New Roman" w:eastAsia="仿宋_GB2312"/>
          <w:color w:val="000000"/>
          <w:sz w:val="32"/>
          <w:szCs w:val="32"/>
          <w:lang w:val="en-US" w:eastAsia="zh-CN"/>
        </w:rPr>
        <w:t>5</w:t>
      </w:r>
      <w:r>
        <w:rPr>
          <w:rFonts w:ascii="Times New Roman" w:hAnsi="Times New Roman" w:eastAsia="仿宋_GB2312"/>
          <w:color w:val="000000"/>
          <w:sz w:val="32"/>
          <w:szCs w:val="32"/>
        </w:rPr>
        <w:t>年度</w:t>
      </w:r>
      <w:r>
        <w:rPr>
          <w:rFonts w:hint="eastAsia" w:ascii="Times New Roman" w:eastAsia="仿宋_GB2312"/>
          <w:color w:val="000000"/>
          <w:sz w:val="32"/>
          <w:szCs w:val="32"/>
          <w:lang w:val="en-US" w:eastAsia="zh-CN"/>
        </w:rPr>
        <w:t>市审计局部门整体支出</w:t>
      </w:r>
      <w:r>
        <w:rPr>
          <w:rFonts w:ascii="Times New Roman" w:hAnsi="Times New Roman" w:eastAsia="仿宋_GB2312"/>
          <w:color w:val="000000"/>
          <w:sz w:val="32"/>
          <w:szCs w:val="32"/>
        </w:rPr>
        <w:t>虽取得了一定的成效，但还存在一些问题和不足，主要表现在：</w:t>
      </w:r>
    </w:p>
    <w:p w14:paraId="48BA8AD3">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Times New Roman" w:eastAsia="仿宋_GB2312"/>
          <w:b w:val="0"/>
          <w:bCs/>
          <w:color w:val="000000"/>
          <w:sz w:val="32"/>
          <w:szCs w:val="32"/>
          <w:lang w:val="en-US" w:eastAsia="zh-CN"/>
        </w:rPr>
        <w:t>市审计局部门预算绩效管理指标不够量化，评价体系不够健全。</w:t>
      </w:r>
    </w:p>
    <w:p w14:paraId="6A7ACD16">
      <w:pPr>
        <w:keepNext w:val="0"/>
        <w:keepLines w:val="0"/>
        <w:pageBreakBefore w:val="0"/>
        <w:widowControl/>
        <w:kinsoku/>
        <w:wordWrap/>
        <w:overflowPunct/>
        <w:topLinePunct w:val="0"/>
        <w:autoSpaceDE/>
        <w:autoSpaceDN/>
        <w:bidi w:val="0"/>
        <w:adjustRightInd/>
        <w:snapToGrid/>
        <w:spacing w:line="560" w:lineRule="exact"/>
        <w:ind w:right="0"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五、下一步工作举措</w:t>
      </w:r>
    </w:p>
    <w:p w14:paraId="268A5AE3">
      <w:pPr>
        <w:keepNext w:val="0"/>
        <w:keepLines w:val="0"/>
        <w:pageBreakBefore w:val="0"/>
        <w:widowControl/>
        <w:kinsoku/>
        <w:wordWrap/>
        <w:overflowPunct/>
        <w:topLinePunct w:val="0"/>
        <w:autoSpaceDE/>
        <w:autoSpaceDN/>
        <w:bidi w:val="0"/>
        <w:adjustRightInd/>
        <w:snapToGrid/>
        <w:spacing w:line="560" w:lineRule="exact"/>
        <w:ind w:right="0" w:firstLine="640"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为进一步提高专项资金使用效益，针对存在的问题，提出如下建议：</w:t>
      </w:r>
    </w:p>
    <w:p w14:paraId="2D0D27E9">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Times New Roman" w:eastAsia="仿宋_GB2312"/>
          <w:b w:val="0"/>
          <w:bCs/>
          <w:color w:val="000000"/>
          <w:sz w:val="32"/>
          <w:szCs w:val="32"/>
          <w:lang w:eastAsia="zh-CN"/>
        </w:rPr>
      </w:pPr>
      <w:bookmarkStart w:id="0" w:name="_GoBack"/>
      <w:r>
        <w:rPr>
          <w:rFonts w:hint="eastAsia" w:ascii="Times New Roman" w:eastAsia="仿宋_GB2312"/>
          <w:b w:val="0"/>
          <w:bCs/>
          <w:color w:val="000000"/>
          <w:sz w:val="32"/>
          <w:szCs w:val="32"/>
          <w:lang w:eastAsia="zh-CN"/>
        </w:rPr>
        <w:t>建立健全市审计局预算绩效管理指标体系，确保绩效评价科学量化。</w:t>
      </w:r>
    </w:p>
    <w:bookmarkEnd w:id="0"/>
    <w:p w14:paraId="25449AF5">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ascii="Times New Roman" w:hAnsi="Times New Roman" w:eastAsia="黑体"/>
          <w:color w:val="000000"/>
          <w:sz w:val="32"/>
          <w:szCs w:val="32"/>
        </w:rPr>
      </w:pPr>
      <w:r>
        <w:rPr>
          <w:rFonts w:ascii="Times New Roman" w:hAnsi="Times New Roman" w:eastAsia="黑体"/>
          <w:color w:val="000000"/>
          <w:sz w:val="32"/>
          <w:szCs w:val="32"/>
        </w:rPr>
        <w:t>六、自评依据</w:t>
      </w:r>
    </w:p>
    <w:p w14:paraId="0161B184">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（一）《202</w:t>
      </w:r>
      <w:r>
        <w:rPr>
          <w:rFonts w:hint="eastAsia" w:ascii="Times New Roman" w:hAnsi="Times New Roman" w:eastAsia="仿宋_GB2312"/>
          <w:color w:val="000000"/>
          <w:sz w:val="32"/>
          <w:szCs w:val="32"/>
          <w:lang w:val="en-US" w:eastAsia="zh-CN"/>
        </w:rPr>
        <w:t>5淮南市审计项目计划</w:t>
      </w:r>
      <w:r>
        <w:rPr>
          <w:rFonts w:hint="eastAsia" w:ascii="Times New Roman" w:hAnsi="Times New Roman" w:eastAsia="仿宋_GB2312"/>
          <w:color w:val="000000"/>
          <w:sz w:val="32"/>
          <w:szCs w:val="32"/>
        </w:rPr>
        <w:t>》</w:t>
      </w:r>
    </w:p>
    <w:p w14:paraId="0F99CCDB">
      <w:pPr>
        <w:pStyle w:val="5"/>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（二）《</w:t>
      </w:r>
      <w:r>
        <w:rPr>
          <w:rFonts w:hint="eastAsia" w:ascii="Times New Roman" w:hAnsi="Times New Roman" w:eastAsia="仿宋_GB2312"/>
          <w:color w:val="000000"/>
          <w:sz w:val="32"/>
          <w:szCs w:val="32"/>
          <w:lang w:val="en-US" w:eastAsia="zh-CN"/>
        </w:rPr>
        <w:t>2025年1-12月审计工作情况通报</w:t>
      </w:r>
      <w:r>
        <w:rPr>
          <w:rFonts w:hint="eastAsia" w:ascii="Times New Roman" w:hAnsi="Times New Roman" w:eastAsia="仿宋_GB2312"/>
          <w:color w:val="000000"/>
          <w:sz w:val="32"/>
          <w:szCs w:val="32"/>
        </w:rPr>
        <w:t>》</w:t>
      </w:r>
    </w:p>
    <w:p w14:paraId="77333CC3">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sz w:val="32"/>
          <w:szCs w:val="32"/>
        </w:rPr>
      </w:pPr>
      <w:r>
        <w:rPr>
          <w:rFonts w:hint="eastAsia" w:ascii="Times New Roman" w:hAnsi="Times New Roman" w:eastAsia="仿宋_GB2312"/>
          <w:color w:val="000000"/>
          <w:sz w:val="32"/>
          <w:szCs w:val="32"/>
        </w:rPr>
        <w:t>（三）《淮南市审计局关于202</w:t>
      </w:r>
      <w:r>
        <w:rPr>
          <w:rFonts w:hint="eastAsia" w:ascii="Times New Roman" w:hAnsi="Times New Roman" w:eastAsia="仿宋_GB2312"/>
          <w:color w:val="000000"/>
          <w:sz w:val="32"/>
          <w:szCs w:val="32"/>
          <w:lang w:val="en-US" w:eastAsia="zh-CN"/>
        </w:rPr>
        <w:t>5</w:t>
      </w:r>
      <w:r>
        <w:rPr>
          <w:rFonts w:hint="eastAsia" w:ascii="Times New Roman" w:hAnsi="Times New Roman" w:eastAsia="仿宋_GB2312"/>
          <w:color w:val="000000"/>
          <w:sz w:val="32"/>
          <w:szCs w:val="32"/>
        </w:rPr>
        <w:t>年审计工作总结及202</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工作安排的报告》</w:t>
      </w:r>
    </w:p>
    <w:p w14:paraId="42E61907">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olor w:val="000000"/>
          <w:sz w:val="32"/>
          <w:szCs w:val="32"/>
        </w:rPr>
        <w:t>（四）</w:t>
      </w:r>
      <w:r>
        <w:rPr>
          <w:rFonts w:hint="eastAsia" w:ascii="Times New Roman" w:hAnsi="Times New Roman" w:eastAsia="仿宋_GB2312"/>
          <w:color w:val="000000"/>
          <w:sz w:val="32"/>
          <w:szCs w:val="32"/>
          <w:lang w:val="en-US" w:eastAsia="zh-CN"/>
        </w:rPr>
        <w:t>淮南市审计局</w:t>
      </w:r>
      <w:r>
        <w:rPr>
          <w:rFonts w:hint="eastAsia" w:ascii="仿宋_GB2312" w:hAnsi="Calibri" w:eastAsia="仿宋_GB2312"/>
          <w:sz w:val="32"/>
          <w:szCs w:val="32"/>
        </w:rPr>
        <w:t>202</w:t>
      </w:r>
      <w:r>
        <w:rPr>
          <w:rFonts w:hint="eastAsia" w:ascii="仿宋_GB2312" w:hAnsi="Calibri" w:eastAsia="仿宋_GB2312"/>
          <w:sz w:val="32"/>
          <w:szCs w:val="32"/>
          <w:lang w:val="en-US" w:eastAsia="zh-CN"/>
        </w:rPr>
        <w:t>5</w:t>
      </w:r>
      <w:r>
        <w:rPr>
          <w:rFonts w:hint="eastAsia" w:ascii="仿宋_GB2312" w:hAnsi="Calibri" w:eastAsia="仿宋_GB2312"/>
          <w:sz w:val="32"/>
          <w:szCs w:val="32"/>
        </w:rPr>
        <w:t>年相关财务资料</w:t>
      </w:r>
    </w:p>
    <w:p w14:paraId="01AC980F">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ascii="Times New Roman" w:hAnsi="Times New Roman" w:eastAsia="黑体"/>
          <w:color w:val="000000"/>
          <w:sz w:val="32"/>
          <w:szCs w:val="32"/>
        </w:rPr>
      </w:pPr>
      <w:r>
        <w:rPr>
          <w:rFonts w:ascii="Times New Roman" w:hAnsi="Times New Roman" w:eastAsia="黑体"/>
          <w:color w:val="000000"/>
          <w:sz w:val="32"/>
          <w:szCs w:val="32"/>
        </w:rPr>
        <w:t>七、附件</w:t>
      </w:r>
    </w:p>
    <w:p w14:paraId="1EC121F7">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ascii="Times New Roman" w:hAnsi="Times New Roman" w:eastAsia="黑体"/>
          <w:bCs/>
          <w:w w:val="100"/>
          <w:sz w:val="32"/>
          <w:szCs w:val="32"/>
        </w:rPr>
      </w:pPr>
      <w:r>
        <w:rPr>
          <w:rFonts w:hint="eastAsia" w:ascii="仿宋_GB2312" w:hAnsi="仿宋_GB2312" w:eastAsia="仿宋_GB2312" w:cs="仿宋_GB2312"/>
          <w:color w:val="000000"/>
          <w:w w:val="100"/>
          <w:sz w:val="32"/>
          <w:szCs w:val="32"/>
        </w:rPr>
        <w:t>1.部门整体支出绩效自评表</w:t>
      </w:r>
      <w:r>
        <w:rPr>
          <w:rFonts w:hint="eastAsia" w:ascii="仿宋_GB2312" w:hAnsi="仿宋_GB2312" w:eastAsia="仿宋_GB2312" w:cs="仿宋_GB2312"/>
          <w:color w:val="000000"/>
          <w:w w:val="100"/>
          <w:sz w:val="32"/>
          <w:szCs w:val="32"/>
          <w:lang w:eastAsia="zh-CN"/>
        </w:rPr>
        <w:t>。</w:t>
      </w:r>
    </w:p>
    <w:sectPr>
      <w:footerReference r:id="rId3" w:type="even"/>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MS Gothic">
    <w:altName w:val="方正书宋_GBK"/>
    <w:panose1 w:val="020B0609070205080204"/>
    <w:charset w:val="80"/>
    <w:family w:val="modern"/>
    <w:pitch w:val="default"/>
    <w:sig w:usb0="00000000" w:usb1="00000000" w:usb2="08000012" w:usb3="00000000" w:csb0="4002009F" w:csb1="DFD7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思源宋体">
    <w:panose1 w:val="02020400000000000000"/>
    <w:charset w:val="86"/>
    <w:family w:val="auto"/>
    <w:pitch w:val="default"/>
    <w:sig w:usb0="3000008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882B7">
    <w:pPr>
      <w:pStyle w:val="12"/>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14:paraId="4D7E0D4E">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hZjZiMjM0OWJlYjAyYTcwNjZhNzFkZTA3OGNiNGIifQ=="/>
  </w:docVars>
  <w:rsids>
    <w:rsidRoot w:val="00192156"/>
    <w:rsid w:val="0000272A"/>
    <w:rsid w:val="000074DB"/>
    <w:rsid w:val="000101D3"/>
    <w:rsid w:val="000215E7"/>
    <w:rsid w:val="00024B78"/>
    <w:rsid w:val="000333B7"/>
    <w:rsid w:val="000369D0"/>
    <w:rsid w:val="00045A25"/>
    <w:rsid w:val="000466BE"/>
    <w:rsid w:val="00050B99"/>
    <w:rsid w:val="000521A2"/>
    <w:rsid w:val="00060E82"/>
    <w:rsid w:val="000618D5"/>
    <w:rsid w:val="00071A73"/>
    <w:rsid w:val="00087AD9"/>
    <w:rsid w:val="000921B9"/>
    <w:rsid w:val="00094DDF"/>
    <w:rsid w:val="00096024"/>
    <w:rsid w:val="00096BEA"/>
    <w:rsid w:val="000A060D"/>
    <w:rsid w:val="000A0BD2"/>
    <w:rsid w:val="000A2B01"/>
    <w:rsid w:val="000A3270"/>
    <w:rsid w:val="000B05BB"/>
    <w:rsid w:val="000B24DC"/>
    <w:rsid w:val="000C07BA"/>
    <w:rsid w:val="000C3815"/>
    <w:rsid w:val="000C3EFC"/>
    <w:rsid w:val="000C6717"/>
    <w:rsid w:val="000D56B4"/>
    <w:rsid w:val="000E18F6"/>
    <w:rsid w:val="000F77CE"/>
    <w:rsid w:val="001004CC"/>
    <w:rsid w:val="00100BCA"/>
    <w:rsid w:val="001018B2"/>
    <w:rsid w:val="00110A25"/>
    <w:rsid w:val="00111B1D"/>
    <w:rsid w:val="00125A14"/>
    <w:rsid w:val="00130D97"/>
    <w:rsid w:val="00136701"/>
    <w:rsid w:val="00136886"/>
    <w:rsid w:val="001415D0"/>
    <w:rsid w:val="00142159"/>
    <w:rsid w:val="00150D36"/>
    <w:rsid w:val="001536B6"/>
    <w:rsid w:val="001620B3"/>
    <w:rsid w:val="00165688"/>
    <w:rsid w:val="00170D4C"/>
    <w:rsid w:val="001734CA"/>
    <w:rsid w:val="00174CDA"/>
    <w:rsid w:val="0017600E"/>
    <w:rsid w:val="00181564"/>
    <w:rsid w:val="00181FC4"/>
    <w:rsid w:val="00184AD9"/>
    <w:rsid w:val="0019017C"/>
    <w:rsid w:val="00191913"/>
    <w:rsid w:val="00191969"/>
    <w:rsid w:val="00192156"/>
    <w:rsid w:val="00192ACC"/>
    <w:rsid w:val="001940C5"/>
    <w:rsid w:val="001A0A5F"/>
    <w:rsid w:val="001A0D99"/>
    <w:rsid w:val="001A3CC7"/>
    <w:rsid w:val="001A58CB"/>
    <w:rsid w:val="001A5C8B"/>
    <w:rsid w:val="001A694B"/>
    <w:rsid w:val="001B789B"/>
    <w:rsid w:val="001C4318"/>
    <w:rsid w:val="001D1E4C"/>
    <w:rsid w:val="001D3226"/>
    <w:rsid w:val="001D4994"/>
    <w:rsid w:val="001D5615"/>
    <w:rsid w:val="001D6B55"/>
    <w:rsid w:val="001E02D9"/>
    <w:rsid w:val="001F1D49"/>
    <w:rsid w:val="001F43A9"/>
    <w:rsid w:val="00204E47"/>
    <w:rsid w:val="002124CD"/>
    <w:rsid w:val="00220B48"/>
    <w:rsid w:val="00225F36"/>
    <w:rsid w:val="00234311"/>
    <w:rsid w:val="00235D77"/>
    <w:rsid w:val="002366F3"/>
    <w:rsid w:val="00237881"/>
    <w:rsid w:val="002422EF"/>
    <w:rsid w:val="00242E8D"/>
    <w:rsid w:val="002508AE"/>
    <w:rsid w:val="002604CF"/>
    <w:rsid w:val="00261501"/>
    <w:rsid w:val="002744D0"/>
    <w:rsid w:val="0029361A"/>
    <w:rsid w:val="002A178C"/>
    <w:rsid w:val="002A2144"/>
    <w:rsid w:val="002B369A"/>
    <w:rsid w:val="002B4F16"/>
    <w:rsid w:val="002C41A0"/>
    <w:rsid w:val="002C668E"/>
    <w:rsid w:val="002C7793"/>
    <w:rsid w:val="002D275C"/>
    <w:rsid w:val="002D4264"/>
    <w:rsid w:val="002D42FC"/>
    <w:rsid w:val="002D706D"/>
    <w:rsid w:val="002E0890"/>
    <w:rsid w:val="002E0C00"/>
    <w:rsid w:val="002E385F"/>
    <w:rsid w:val="002E5523"/>
    <w:rsid w:val="002F127F"/>
    <w:rsid w:val="003035A5"/>
    <w:rsid w:val="00312D71"/>
    <w:rsid w:val="00313C97"/>
    <w:rsid w:val="003146B2"/>
    <w:rsid w:val="003156F3"/>
    <w:rsid w:val="00315762"/>
    <w:rsid w:val="00320D45"/>
    <w:rsid w:val="00340B74"/>
    <w:rsid w:val="003531EE"/>
    <w:rsid w:val="00361095"/>
    <w:rsid w:val="00363B11"/>
    <w:rsid w:val="003675A0"/>
    <w:rsid w:val="003678D7"/>
    <w:rsid w:val="00371894"/>
    <w:rsid w:val="00371DFA"/>
    <w:rsid w:val="00372401"/>
    <w:rsid w:val="00380174"/>
    <w:rsid w:val="003856EB"/>
    <w:rsid w:val="00387B35"/>
    <w:rsid w:val="003901E3"/>
    <w:rsid w:val="00392656"/>
    <w:rsid w:val="003A49CC"/>
    <w:rsid w:val="003B02B9"/>
    <w:rsid w:val="003B5B2B"/>
    <w:rsid w:val="003B6E6D"/>
    <w:rsid w:val="003B756F"/>
    <w:rsid w:val="003C18CB"/>
    <w:rsid w:val="003C5226"/>
    <w:rsid w:val="003C6FDE"/>
    <w:rsid w:val="003D2AE8"/>
    <w:rsid w:val="003D2CB7"/>
    <w:rsid w:val="003D485F"/>
    <w:rsid w:val="003D4A34"/>
    <w:rsid w:val="003E0F29"/>
    <w:rsid w:val="003E4174"/>
    <w:rsid w:val="003F4B38"/>
    <w:rsid w:val="003F6BFC"/>
    <w:rsid w:val="00404086"/>
    <w:rsid w:val="004076F9"/>
    <w:rsid w:val="00414837"/>
    <w:rsid w:val="004174E4"/>
    <w:rsid w:val="00424B8B"/>
    <w:rsid w:val="00435926"/>
    <w:rsid w:val="004359DB"/>
    <w:rsid w:val="00440DEA"/>
    <w:rsid w:val="00440F97"/>
    <w:rsid w:val="004419E1"/>
    <w:rsid w:val="0044342B"/>
    <w:rsid w:val="004454AB"/>
    <w:rsid w:val="00446658"/>
    <w:rsid w:val="00447963"/>
    <w:rsid w:val="00451915"/>
    <w:rsid w:val="0045354D"/>
    <w:rsid w:val="00454634"/>
    <w:rsid w:val="00454DAA"/>
    <w:rsid w:val="00472677"/>
    <w:rsid w:val="00485168"/>
    <w:rsid w:val="004856D4"/>
    <w:rsid w:val="00495C77"/>
    <w:rsid w:val="004973DF"/>
    <w:rsid w:val="004A0BD6"/>
    <w:rsid w:val="004A1978"/>
    <w:rsid w:val="004A4078"/>
    <w:rsid w:val="004A4AF4"/>
    <w:rsid w:val="004A7640"/>
    <w:rsid w:val="004B1709"/>
    <w:rsid w:val="004B4FEE"/>
    <w:rsid w:val="004B5493"/>
    <w:rsid w:val="004C3A42"/>
    <w:rsid w:val="004D1ABC"/>
    <w:rsid w:val="004D26B9"/>
    <w:rsid w:val="004D40A5"/>
    <w:rsid w:val="004D6527"/>
    <w:rsid w:val="004E1C52"/>
    <w:rsid w:val="004E4A47"/>
    <w:rsid w:val="004E4C61"/>
    <w:rsid w:val="004F4190"/>
    <w:rsid w:val="0051355C"/>
    <w:rsid w:val="00515190"/>
    <w:rsid w:val="005171A0"/>
    <w:rsid w:val="00522049"/>
    <w:rsid w:val="005345A9"/>
    <w:rsid w:val="00535F35"/>
    <w:rsid w:val="005442AC"/>
    <w:rsid w:val="00553264"/>
    <w:rsid w:val="00557D02"/>
    <w:rsid w:val="00560675"/>
    <w:rsid w:val="00560F97"/>
    <w:rsid w:val="00564E0E"/>
    <w:rsid w:val="005708F2"/>
    <w:rsid w:val="00570AB0"/>
    <w:rsid w:val="00571627"/>
    <w:rsid w:val="005772D9"/>
    <w:rsid w:val="005848DF"/>
    <w:rsid w:val="0058504B"/>
    <w:rsid w:val="00585324"/>
    <w:rsid w:val="00594322"/>
    <w:rsid w:val="005968DC"/>
    <w:rsid w:val="00597164"/>
    <w:rsid w:val="005A1497"/>
    <w:rsid w:val="005A3389"/>
    <w:rsid w:val="005A3705"/>
    <w:rsid w:val="005B31B8"/>
    <w:rsid w:val="005B6FBE"/>
    <w:rsid w:val="005C40B9"/>
    <w:rsid w:val="005C57DA"/>
    <w:rsid w:val="005D0437"/>
    <w:rsid w:val="005D2B08"/>
    <w:rsid w:val="005D40C0"/>
    <w:rsid w:val="005D654E"/>
    <w:rsid w:val="005D6859"/>
    <w:rsid w:val="005D68D6"/>
    <w:rsid w:val="005E125C"/>
    <w:rsid w:val="005E4262"/>
    <w:rsid w:val="005E55E1"/>
    <w:rsid w:val="005F3419"/>
    <w:rsid w:val="005F3CBA"/>
    <w:rsid w:val="005F5137"/>
    <w:rsid w:val="006355FE"/>
    <w:rsid w:val="00662F34"/>
    <w:rsid w:val="00663774"/>
    <w:rsid w:val="00677348"/>
    <w:rsid w:val="00677646"/>
    <w:rsid w:val="00677834"/>
    <w:rsid w:val="006831EE"/>
    <w:rsid w:val="00685395"/>
    <w:rsid w:val="006948E0"/>
    <w:rsid w:val="006965E7"/>
    <w:rsid w:val="00697520"/>
    <w:rsid w:val="006A14C4"/>
    <w:rsid w:val="006A3FD5"/>
    <w:rsid w:val="006A4236"/>
    <w:rsid w:val="006A45AC"/>
    <w:rsid w:val="006B3063"/>
    <w:rsid w:val="006B46ED"/>
    <w:rsid w:val="006B79CA"/>
    <w:rsid w:val="006B7B07"/>
    <w:rsid w:val="006C0B18"/>
    <w:rsid w:val="006C19E0"/>
    <w:rsid w:val="006C3746"/>
    <w:rsid w:val="006C4310"/>
    <w:rsid w:val="006D502B"/>
    <w:rsid w:val="006D7757"/>
    <w:rsid w:val="006E02E2"/>
    <w:rsid w:val="006E038A"/>
    <w:rsid w:val="006E0AD0"/>
    <w:rsid w:val="006E26BC"/>
    <w:rsid w:val="006E4B18"/>
    <w:rsid w:val="006F22E5"/>
    <w:rsid w:val="006F51A9"/>
    <w:rsid w:val="006F58EC"/>
    <w:rsid w:val="006F695F"/>
    <w:rsid w:val="006F7CAD"/>
    <w:rsid w:val="007000CC"/>
    <w:rsid w:val="00701870"/>
    <w:rsid w:val="00722E7A"/>
    <w:rsid w:val="00735BB1"/>
    <w:rsid w:val="007402AB"/>
    <w:rsid w:val="0074108F"/>
    <w:rsid w:val="00752C25"/>
    <w:rsid w:val="00754E89"/>
    <w:rsid w:val="0075594B"/>
    <w:rsid w:val="00761524"/>
    <w:rsid w:val="00761D96"/>
    <w:rsid w:val="00761E26"/>
    <w:rsid w:val="00767873"/>
    <w:rsid w:val="00767FE9"/>
    <w:rsid w:val="00770481"/>
    <w:rsid w:val="007707B8"/>
    <w:rsid w:val="00776D2C"/>
    <w:rsid w:val="00780B10"/>
    <w:rsid w:val="0078356B"/>
    <w:rsid w:val="00784FB4"/>
    <w:rsid w:val="0079117B"/>
    <w:rsid w:val="0079327B"/>
    <w:rsid w:val="0079799B"/>
    <w:rsid w:val="007A06D9"/>
    <w:rsid w:val="007A090C"/>
    <w:rsid w:val="007A102C"/>
    <w:rsid w:val="007A32A4"/>
    <w:rsid w:val="007A5CDE"/>
    <w:rsid w:val="007A5E2F"/>
    <w:rsid w:val="007B23E7"/>
    <w:rsid w:val="007B4F28"/>
    <w:rsid w:val="007B718E"/>
    <w:rsid w:val="007B7D9A"/>
    <w:rsid w:val="007C2C6A"/>
    <w:rsid w:val="007C3293"/>
    <w:rsid w:val="007C414E"/>
    <w:rsid w:val="007C78D7"/>
    <w:rsid w:val="007D1928"/>
    <w:rsid w:val="007D54F8"/>
    <w:rsid w:val="007D78C2"/>
    <w:rsid w:val="007E2AE4"/>
    <w:rsid w:val="007E67F8"/>
    <w:rsid w:val="007E7F05"/>
    <w:rsid w:val="007F2134"/>
    <w:rsid w:val="007F2698"/>
    <w:rsid w:val="007F5F7E"/>
    <w:rsid w:val="0080213C"/>
    <w:rsid w:val="008031B2"/>
    <w:rsid w:val="00806E3D"/>
    <w:rsid w:val="00807923"/>
    <w:rsid w:val="008134B8"/>
    <w:rsid w:val="0081745E"/>
    <w:rsid w:val="008177FE"/>
    <w:rsid w:val="008205EA"/>
    <w:rsid w:val="00820E94"/>
    <w:rsid w:val="00823B83"/>
    <w:rsid w:val="00824785"/>
    <w:rsid w:val="00832AB1"/>
    <w:rsid w:val="00835200"/>
    <w:rsid w:val="00835705"/>
    <w:rsid w:val="00842350"/>
    <w:rsid w:val="00845612"/>
    <w:rsid w:val="00853410"/>
    <w:rsid w:val="00856E3F"/>
    <w:rsid w:val="00857795"/>
    <w:rsid w:val="00867CFD"/>
    <w:rsid w:val="00873446"/>
    <w:rsid w:val="00876C69"/>
    <w:rsid w:val="00881C34"/>
    <w:rsid w:val="00881C4F"/>
    <w:rsid w:val="00890C89"/>
    <w:rsid w:val="008A0412"/>
    <w:rsid w:val="008A10FF"/>
    <w:rsid w:val="008A5F56"/>
    <w:rsid w:val="008B05BA"/>
    <w:rsid w:val="008B24DA"/>
    <w:rsid w:val="008B4131"/>
    <w:rsid w:val="008B4B5B"/>
    <w:rsid w:val="008C59DC"/>
    <w:rsid w:val="008D0D42"/>
    <w:rsid w:val="008D28BC"/>
    <w:rsid w:val="008D5B68"/>
    <w:rsid w:val="008D7C61"/>
    <w:rsid w:val="008E1FE0"/>
    <w:rsid w:val="008E495C"/>
    <w:rsid w:val="008F48A2"/>
    <w:rsid w:val="009065BE"/>
    <w:rsid w:val="00907379"/>
    <w:rsid w:val="00907AA8"/>
    <w:rsid w:val="00910BC3"/>
    <w:rsid w:val="0091165E"/>
    <w:rsid w:val="00911A94"/>
    <w:rsid w:val="009130CE"/>
    <w:rsid w:val="00924F87"/>
    <w:rsid w:val="00927967"/>
    <w:rsid w:val="00931F35"/>
    <w:rsid w:val="00932F06"/>
    <w:rsid w:val="00934E8E"/>
    <w:rsid w:val="00935C4C"/>
    <w:rsid w:val="00936045"/>
    <w:rsid w:val="0094070D"/>
    <w:rsid w:val="00944814"/>
    <w:rsid w:val="0094537C"/>
    <w:rsid w:val="00947C62"/>
    <w:rsid w:val="00951B0E"/>
    <w:rsid w:val="0095617D"/>
    <w:rsid w:val="00957C1C"/>
    <w:rsid w:val="00962DFE"/>
    <w:rsid w:val="0096782D"/>
    <w:rsid w:val="0097214E"/>
    <w:rsid w:val="00977AAC"/>
    <w:rsid w:val="00977C29"/>
    <w:rsid w:val="00983B74"/>
    <w:rsid w:val="009861E0"/>
    <w:rsid w:val="009969DA"/>
    <w:rsid w:val="009A3615"/>
    <w:rsid w:val="009A365D"/>
    <w:rsid w:val="009A77F1"/>
    <w:rsid w:val="009B1385"/>
    <w:rsid w:val="009B1866"/>
    <w:rsid w:val="009C2658"/>
    <w:rsid w:val="009C27D3"/>
    <w:rsid w:val="009C2F66"/>
    <w:rsid w:val="009C3BD3"/>
    <w:rsid w:val="009C7648"/>
    <w:rsid w:val="009D4128"/>
    <w:rsid w:val="009D76CB"/>
    <w:rsid w:val="009F2544"/>
    <w:rsid w:val="009F32A9"/>
    <w:rsid w:val="009F35ED"/>
    <w:rsid w:val="009F4C85"/>
    <w:rsid w:val="009F72A7"/>
    <w:rsid w:val="00A01EE0"/>
    <w:rsid w:val="00A051B8"/>
    <w:rsid w:val="00A06889"/>
    <w:rsid w:val="00A11B4B"/>
    <w:rsid w:val="00A11DD2"/>
    <w:rsid w:val="00A17ADE"/>
    <w:rsid w:val="00A20AEF"/>
    <w:rsid w:val="00A21E90"/>
    <w:rsid w:val="00A2377B"/>
    <w:rsid w:val="00A40563"/>
    <w:rsid w:val="00A42F87"/>
    <w:rsid w:val="00A47824"/>
    <w:rsid w:val="00A54D46"/>
    <w:rsid w:val="00A62D7B"/>
    <w:rsid w:val="00A652B8"/>
    <w:rsid w:val="00A65E7A"/>
    <w:rsid w:val="00A66374"/>
    <w:rsid w:val="00A72594"/>
    <w:rsid w:val="00A760E9"/>
    <w:rsid w:val="00A81393"/>
    <w:rsid w:val="00A843D0"/>
    <w:rsid w:val="00AB036A"/>
    <w:rsid w:val="00AB3763"/>
    <w:rsid w:val="00AD6367"/>
    <w:rsid w:val="00AE0561"/>
    <w:rsid w:val="00AE2143"/>
    <w:rsid w:val="00AE49CA"/>
    <w:rsid w:val="00AE6ADC"/>
    <w:rsid w:val="00AE7672"/>
    <w:rsid w:val="00AF7D29"/>
    <w:rsid w:val="00B042D2"/>
    <w:rsid w:val="00B052BA"/>
    <w:rsid w:val="00B14E30"/>
    <w:rsid w:val="00B161F6"/>
    <w:rsid w:val="00B21D9F"/>
    <w:rsid w:val="00B300D2"/>
    <w:rsid w:val="00B433D1"/>
    <w:rsid w:val="00B45278"/>
    <w:rsid w:val="00B47BE4"/>
    <w:rsid w:val="00B5185E"/>
    <w:rsid w:val="00B607B6"/>
    <w:rsid w:val="00B666F5"/>
    <w:rsid w:val="00B734FE"/>
    <w:rsid w:val="00B76AC0"/>
    <w:rsid w:val="00B8253B"/>
    <w:rsid w:val="00B8783F"/>
    <w:rsid w:val="00B87C65"/>
    <w:rsid w:val="00B91337"/>
    <w:rsid w:val="00B97927"/>
    <w:rsid w:val="00B97CEE"/>
    <w:rsid w:val="00BA5279"/>
    <w:rsid w:val="00BA76C2"/>
    <w:rsid w:val="00BB1245"/>
    <w:rsid w:val="00BB298E"/>
    <w:rsid w:val="00BB73C4"/>
    <w:rsid w:val="00BC24BB"/>
    <w:rsid w:val="00BC6CCB"/>
    <w:rsid w:val="00BC7AA8"/>
    <w:rsid w:val="00BD0690"/>
    <w:rsid w:val="00BD158F"/>
    <w:rsid w:val="00BD3423"/>
    <w:rsid w:val="00BD3BDF"/>
    <w:rsid w:val="00BD710A"/>
    <w:rsid w:val="00BE2410"/>
    <w:rsid w:val="00BE34E9"/>
    <w:rsid w:val="00BE483F"/>
    <w:rsid w:val="00BE61EF"/>
    <w:rsid w:val="00BE6DD0"/>
    <w:rsid w:val="00BE7D69"/>
    <w:rsid w:val="00BF5A3E"/>
    <w:rsid w:val="00C01D7E"/>
    <w:rsid w:val="00C026C4"/>
    <w:rsid w:val="00C04BD1"/>
    <w:rsid w:val="00C06DCA"/>
    <w:rsid w:val="00C1163A"/>
    <w:rsid w:val="00C14858"/>
    <w:rsid w:val="00C17E10"/>
    <w:rsid w:val="00C25820"/>
    <w:rsid w:val="00C36AEA"/>
    <w:rsid w:val="00C50A56"/>
    <w:rsid w:val="00C64664"/>
    <w:rsid w:val="00C666BF"/>
    <w:rsid w:val="00C67850"/>
    <w:rsid w:val="00C7077F"/>
    <w:rsid w:val="00C81FD2"/>
    <w:rsid w:val="00C8454B"/>
    <w:rsid w:val="00C87B9F"/>
    <w:rsid w:val="00C9306D"/>
    <w:rsid w:val="00CB0E8B"/>
    <w:rsid w:val="00CB0FE6"/>
    <w:rsid w:val="00CB2CB4"/>
    <w:rsid w:val="00CB7AAF"/>
    <w:rsid w:val="00CC3CB9"/>
    <w:rsid w:val="00CD48DE"/>
    <w:rsid w:val="00CE385C"/>
    <w:rsid w:val="00CE57DC"/>
    <w:rsid w:val="00CE72E4"/>
    <w:rsid w:val="00CF2D06"/>
    <w:rsid w:val="00CF414E"/>
    <w:rsid w:val="00CF645D"/>
    <w:rsid w:val="00D00BB2"/>
    <w:rsid w:val="00D01D8C"/>
    <w:rsid w:val="00D04DEB"/>
    <w:rsid w:val="00D058E5"/>
    <w:rsid w:val="00D1016B"/>
    <w:rsid w:val="00D131B6"/>
    <w:rsid w:val="00D13985"/>
    <w:rsid w:val="00D163A5"/>
    <w:rsid w:val="00D16413"/>
    <w:rsid w:val="00D204AE"/>
    <w:rsid w:val="00D24532"/>
    <w:rsid w:val="00D24BD9"/>
    <w:rsid w:val="00D355DA"/>
    <w:rsid w:val="00D41C31"/>
    <w:rsid w:val="00D4335B"/>
    <w:rsid w:val="00D462B4"/>
    <w:rsid w:val="00D468DD"/>
    <w:rsid w:val="00D471E3"/>
    <w:rsid w:val="00D47347"/>
    <w:rsid w:val="00D4775B"/>
    <w:rsid w:val="00D525E0"/>
    <w:rsid w:val="00D547F2"/>
    <w:rsid w:val="00D6134E"/>
    <w:rsid w:val="00D65E96"/>
    <w:rsid w:val="00D66E4B"/>
    <w:rsid w:val="00D71FA2"/>
    <w:rsid w:val="00D7444C"/>
    <w:rsid w:val="00D769DD"/>
    <w:rsid w:val="00D83E63"/>
    <w:rsid w:val="00D8556B"/>
    <w:rsid w:val="00D85EEF"/>
    <w:rsid w:val="00D86643"/>
    <w:rsid w:val="00D918E0"/>
    <w:rsid w:val="00D9492B"/>
    <w:rsid w:val="00D94C8F"/>
    <w:rsid w:val="00DA00B7"/>
    <w:rsid w:val="00DA0B12"/>
    <w:rsid w:val="00DA2DB4"/>
    <w:rsid w:val="00DA4411"/>
    <w:rsid w:val="00DA4CDC"/>
    <w:rsid w:val="00DA6DFB"/>
    <w:rsid w:val="00DB028F"/>
    <w:rsid w:val="00DC2FB6"/>
    <w:rsid w:val="00DD0035"/>
    <w:rsid w:val="00DD1FB9"/>
    <w:rsid w:val="00DD515E"/>
    <w:rsid w:val="00DE358A"/>
    <w:rsid w:val="00DE7857"/>
    <w:rsid w:val="00DF0606"/>
    <w:rsid w:val="00DF2A89"/>
    <w:rsid w:val="00DF42D7"/>
    <w:rsid w:val="00E03BEA"/>
    <w:rsid w:val="00E1797D"/>
    <w:rsid w:val="00E21407"/>
    <w:rsid w:val="00E216D3"/>
    <w:rsid w:val="00E21D70"/>
    <w:rsid w:val="00E24B64"/>
    <w:rsid w:val="00E360E7"/>
    <w:rsid w:val="00E3787E"/>
    <w:rsid w:val="00E43C5C"/>
    <w:rsid w:val="00E46AB6"/>
    <w:rsid w:val="00E54696"/>
    <w:rsid w:val="00E550F4"/>
    <w:rsid w:val="00E56F20"/>
    <w:rsid w:val="00E675BC"/>
    <w:rsid w:val="00E67788"/>
    <w:rsid w:val="00E72083"/>
    <w:rsid w:val="00E735AC"/>
    <w:rsid w:val="00E9257E"/>
    <w:rsid w:val="00E95998"/>
    <w:rsid w:val="00EA06A4"/>
    <w:rsid w:val="00EB77C9"/>
    <w:rsid w:val="00EC7E99"/>
    <w:rsid w:val="00ED5B06"/>
    <w:rsid w:val="00EE003E"/>
    <w:rsid w:val="00EE180A"/>
    <w:rsid w:val="00EE242C"/>
    <w:rsid w:val="00EE301D"/>
    <w:rsid w:val="00EE4D22"/>
    <w:rsid w:val="00EF78BC"/>
    <w:rsid w:val="00F031B3"/>
    <w:rsid w:val="00F068E0"/>
    <w:rsid w:val="00F11311"/>
    <w:rsid w:val="00F12AC9"/>
    <w:rsid w:val="00F13DB6"/>
    <w:rsid w:val="00F168DE"/>
    <w:rsid w:val="00F16DF3"/>
    <w:rsid w:val="00F27FBA"/>
    <w:rsid w:val="00F33D0D"/>
    <w:rsid w:val="00F42C4A"/>
    <w:rsid w:val="00F4495A"/>
    <w:rsid w:val="00F46070"/>
    <w:rsid w:val="00F47D94"/>
    <w:rsid w:val="00F53E48"/>
    <w:rsid w:val="00F61B60"/>
    <w:rsid w:val="00F62210"/>
    <w:rsid w:val="00F67DCF"/>
    <w:rsid w:val="00F835A3"/>
    <w:rsid w:val="00F8480F"/>
    <w:rsid w:val="00FA133C"/>
    <w:rsid w:val="00FA1C4B"/>
    <w:rsid w:val="00FB08F6"/>
    <w:rsid w:val="00FC23C7"/>
    <w:rsid w:val="00FC7560"/>
    <w:rsid w:val="00FD5131"/>
    <w:rsid w:val="00FD5EB9"/>
    <w:rsid w:val="00FE02A9"/>
    <w:rsid w:val="00FE2DAA"/>
    <w:rsid w:val="00FE4D3A"/>
    <w:rsid w:val="00FE721E"/>
    <w:rsid w:val="00FF13A9"/>
    <w:rsid w:val="00FF1A73"/>
    <w:rsid w:val="00FF4300"/>
    <w:rsid w:val="01882794"/>
    <w:rsid w:val="01F9082C"/>
    <w:rsid w:val="02DA4643"/>
    <w:rsid w:val="03093620"/>
    <w:rsid w:val="039C2A82"/>
    <w:rsid w:val="04BA3FA6"/>
    <w:rsid w:val="071C5217"/>
    <w:rsid w:val="07A3202E"/>
    <w:rsid w:val="0ACD0ED2"/>
    <w:rsid w:val="0D793453"/>
    <w:rsid w:val="0E3C4511"/>
    <w:rsid w:val="0EDC43A3"/>
    <w:rsid w:val="0F144A26"/>
    <w:rsid w:val="12116348"/>
    <w:rsid w:val="15592BBD"/>
    <w:rsid w:val="1942230F"/>
    <w:rsid w:val="19F33BB6"/>
    <w:rsid w:val="1A0C56B9"/>
    <w:rsid w:val="1A630170"/>
    <w:rsid w:val="1AAB7976"/>
    <w:rsid w:val="1AD141CE"/>
    <w:rsid w:val="1B6B3417"/>
    <w:rsid w:val="1BD792BA"/>
    <w:rsid w:val="1E3C40A4"/>
    <w:rsid w:val="210C37AF"/>
    <w:rsid w:val="22511DC1"/>
    <w:rsid w:val="24B86128"/>
    <w:rsid w:val="27A41F75"/>
    <w:rsid w:val="28EA2628"/>
    <w:rsid w:val="29375920"/>
    <w:rsid w:val="2D2F07C3"/>
    <w:rsid w:val="2D8C1F00"/>
    <w:rsid w:val="2DBD655D"/>
    <w:rsid w:val="2DC82F69"/>
    <w:rsid w:val="2FFC4CEE"/>
    <w:rsid w:val="30004E27"/>
    <w:rsid w:val="30311084"/>
    <w:rsid w:val="32AF07F2"/>
    <w:rsid w:val="336244FF"/>
    <w:rsid w:val="336A0030"/>
    <w:rsid w:val="34561BE4"/>
    <w:rsid w:val="356814A4"/>
    <w:rsid w:val="35AE5A2D"/>
    <w:rsid w:val="35CD57AB"/>
    <w:rsid w:val="36A673E8"/>
    <w:rsid w:val="37B248FD"/>
    <w:rsid w:val="380B6117"/>
    <w:rsid w:val="38144FF1"/>
    <w:rsid w:val="39624614"/>
    <w:rsid w:val="39A95BE7"/>
    <w:rsid w:val="3B1A15DB"/>
    <w:rsid w:val="3CA1529C"/>
    <w:rsid w:val="3CFE57A8"/>
    <w:rsid w:val="3D653FEC"/>
    <w:rsid w:val="3FC9749D"/>
    <w:rsid w:val="3FE13653"/>
    <w:rsid w:val="40AA275B"/>
    <w:rsid w:val="4105229D"/>
    <w:rsid w:val="43A40AF2"/>
    <w:rsid w:val="457F23F7"/>
    <w:rsid w:val="45F17802"/>
    <w:rsid w:val="48741AB6"/>
    <w:rsid w:val="48AE321A"/>
    <w:rsid w:val="49641B2B"/>
    <w:rsid w:val="49C31EF2"/>
    <w:rsid w:val="4AD10ED4"/>
    <w:rsid w:val="4D0A22B8"/>
    <w:rsid w:val="4DDF3E76"/>
    <w:rsid w:val="4EE03A01"/>
    <w:rsid w:val="4F132029"/>
    <w:rsid w:val="4F4B6ED7"/>
    <w:rsid w:val="50AF3CF8"/>
    <w:rsid w:val="528B2130"/>
    <w:rsid w:val="536568BD"/>
    <w:rsid w:val="54801BA5"/>
    <w:rsid w:val="566D297A"/>
    <w:rsid w:val="56EF6E93"/>
    <w:rsid w:val="59383718"/>
    <w:rsid w:val="59EF170B"/>
    <w:rsid w:val="5B1A71E8"/>
    <w:rsid w:val="5B977B3E"/>
    <w:rsid w:val="5B98187D"/>
    <w:rsid w:val="5C736320"/>
    <w:rsid w:val="5D0B2591"/>
    <w:rsid w:val="5F9C8719"/>
    <w:rsid w:val="5FF43F05"/>
    <w:rsid w:val="606D70BF"/>
    <w:rsid w:val="608E5CB5"/>
    <w:rsid w:val="618447AD"/>
    <w:rsid w:val="61ED427C"/>
    <w:rsid w:val="61FC6A3E"/>
    <w:rsid w:val="6900726A"/>
    <w:rsid w:val="6D97333C"/>
    <w:rsid w:val="6DBB38A7"/>
    <w:rsid w:val="6DF8D820"/>
    <w:rsid w:val="6F5B773E"/>
    <w:rsid w:val="6FCB5656"/>
    <w:rsid w:val="6FED328C"/>
    <w:rsid w:val="702F5CEE"/>
    <w:rsid w:val="70D50215"/>
    <w:rsid w:val="70FB7200"/>
    <w:rsid w:val="717E737E"/>
    <w:rsid w:val="722825CE"/>
    <w:rsid w:val="72FA6ED8"/>
    <w:rsid w:val="73AB2C22"/>
    <w:rsid w:val="745E6FF3"/>
    <w:rsid w:val="74F97E14"/>
    <w:rsid w:val="75F61793"/>
    <w:rsid w:val="77777A4D"/>
    <w:rsid w:val="779BD1C3"/>
    <w:rsid w:val="796656BA"/>
    <w:rsid w:val="79E01647"/>
    <w:rsid w:val="79EF5B22"/>
    <w:rsid w:val="7A4C15A9"/>
    <w:rsid w:val="7B603F74"/>
    <w:rsid w:val="7BBCDE22"/>
    <w:rsid w:val="7E206B00"/>
    <w:rsid w:val="7E775E81"/>
    <w:rsid w:val="7F7D9BD7"/>
    <w:rsid w:val="7FF76F16"/>
    <w:rsid w:val="7FFE9D0A"/>
    <w:rsid w:val="7FFFD1BD"/>
    <w:rsid w:val="9AFFE7AB"/>
    <w:rsid w:val="A3B3654A"/>
    <w:rsid w:val="AFFFF606"/>
    <w:rsid w:val="B57E2448"/>
    <w:rsid w:val="B7DF99F3"/>
    <w:rsid w:val="D3FF4F83"/>
    <w:rsid w:val="D6C765C5"/>
    <w:rsid w:val="DE7B9CEE"/>
    <w:rsid w:val="EDD9521C"/>
    <w:rsid w:val="F35C17EF"/>
    <w:rsid w:val="F3DEDF06"/>
    <w:rsid w:val="F589066F"/>
    <w:rsid w:val="F5C7AFFE"/>
    <w:rsid w:val="FD75544E"/>
    <w:rsid w:val="FDDA0E1A"/>
    <w:rsid w:val="FF5BABE2"/>
    <w:rsid w:val="FFC670E8"/>
    <w:rsid w:val="FFD6E599"/>
    <w:rsid w:val="FFDF5F2A"/>
    <w:rsid w:val="FFF31F54"/>
    <w:rsid w:val="FFFF69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22"/>
    <w:qFormat/>
    <w:uiPriority w:val="0"/>
    <w:pPr>
      <w:keepNext/>
      <w:keepLines/>
      <w:spacing w:before="340" w:after="330" w:line="578" w:lineRule="auto"/>
      <w:outlineLvl w:val="0"/>
    </w:pPr>
    <w:rPr>
      <w:rFonts w:ascii="Times New Roman" w:hAnsi="Times New Roman" w:eastAsia="MS Gothic"/>
      <w:b/>
      <w:bCs/>
      <w:kern w:val="44"/>
      <w:sz w:val="44"/>
      <w:szCs w:val="44"/>
      <w:lang w:val="zh-CN"/>
    </w:rPr>
  </w:style>
  <w:style w:type="paragraph" w:styleId="4">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No Spacing"/>
    <w:qFormat/>
    <w:uiPriority w:val="99"/>
    <w:pPr>
      <w:widowControl w:val="0"/>
      <w:jc w:val="both"/>
    </w:pPr>
    <w:rPr>
      <w:rFonts w:ascii="Times New Roman" w:hAnsi="Times New Roman" w:eastAsia="宋体" w:cs="Times New Roman"/>
      <w:kern w:val="2"/>
      <w:sz w:val="32"/>
      <w:szCs w:val="32"/>
      <w:lang w:val="en-US" w:eastAsia="zh-CN" w:bidi="ar-SA"/>
    </w:rPr>
  </w:style>
  <w:style w:type="paragraph" w:styleId="5">
    <w:name w:val="table of authorities"/>
    <w:basedOn w:val="1"/>
    <w:next w:val="1"/>
    <w:unhideWhenUsed/>
    <w:qFormat/>
    <w:uiPriority w:val="99"/>
    <w:pPr>
      <w:ind w:left="420" w:leftChars="200"/>
    </w:pPr>
    <w:rPr>
      <w:rFonts w:asciiTheme="minorHAnsi" w:hAnsiTheme="minorHAnsi" w:eastAsiaTheme="minorEastAsia" w:cstheme="minorBidi"/>
    </w:rPr>
  </w:style>
  <w:style w:type="paragraph" w:styleId="6">
    <w:name w:val="Normal Indent"/>
    <w:basedOn w:val="1"/>
    <w:link w:val="26"/>
    <w:qFormat/>
    <w:uiPriority w:val="0"/>
    <w:pPr>
      <w:spacing w:line="560" w:lineRule="atLeast"/>
      <w:ind w:firstLine="567"/>
    </w:pPr>
    <w:rPr>
      <w:rFonts w:asciiTheme="minorHAnsi" w:hAnsiTheme="minorHAnsi" w:eastAsiaTheme="minorEastAsia" w:cstheme="minorBidi"/>
      <w:sz w:val="28"/>
    </w:rPr>
  </w:style>
  <w:style w:type="paragraph" w:styleId="7">
    <w:name w:val="Body Text Indent"/>
    <w:basedOn w:val="1"/>
    <w:next w:val="8"/>
    <w:qFormat/>
    <w:uiPriority w:val="0"/>
    <w:pPr>
      <w:spacing w:line="640" w:lineRule="exact"/>
      <w:ind w:firstLine="560" w:firstLineChars="200"/>
    </w:pPr>
    <w:rPr>
      <w:rFonts w:ascii="仿宋_GB2312" w:hAnsi="宋体" w:eastAsia="仿宋_GB2312"/>
      <w:sz w:val="28"/>
    </w:rPr>
  </w:style>
  <w:style w:type="paragraph" w:styleId="8">
    <w:name w:val="envelope return"/>
    <w:basedOn w:val="1"/>
    <w:qFormat/>
    <w:uiPriority w:val="0"/>
    <w:pPr>
      <w:snapToGrid w:val="0"/>
    </w:pPr>
    <w:rPr>
      <w:rFonts w:ascii="Arial" w:hAnsi="Arial"/>
    </w:rPr>
  </w:style>
  <w:style w:type="paragraph" w:styleId="9">
    <w:name w:val="Date"/>
    <w:basedOn w:val="1"/>
    <w:next w:val="1"/>
    <w:link w:val="31"/>
    <w:qFormat/>
    <w:uiPriority w:val="0"/>
    <w:pPr>
      <w:ind w:left="100" w:leftChars="2500"/>
    </w:pPr>
    <w:rPr>
      <w:rFonts w:ascii="Times New Roman" w:hAnsi="Times New Roman"/>
      <w:szCs w:val="24"/>
    </w:rPr>
  </w:style>
  <w:style w:type="paragraph" w:styleId="10">
    <w:name w:val="Body Text Indent 2"/>
    <w:basedOn w:val="1"/>
    <w:qFormat/>
    <w:uiPriority w:val="99"/>
    <w:pPr>
      <w:spacing w:after="120" w:line="480" w:lineRule="auto"/>
      <w:ind w:left="420" w:leftChars="200"/>
    </w:pPr>
  </w:style>
  <w:style w:type="paragraph" w:styleId="11">
    <w:name w:val="Balloon Text"/>
    <w:basedOn w:val="1"/>
    <w:link w:val="30"/>
    <w:unhideWhenUsed/>
    <w:qFormat/>
    <w:uiPriority w:val="99"/>
    <w:rPr>
      <w:rFonts w:ascii="Times New Roman" w:hAnsi="Times New Roman"/>
      <w:sz w:val="18"/>
      <w:szCs w:val="18"/>
      <w:lang w:val="zh-CN"/>
    </w:rPr>
  </w:style>
  <w:style w:type="paragraph" w:styleId="12">
    <w:name w:val="footer"/>
    <w:basedOn w:val="1"/>
    <w:link w:val="23"/>
    <w:qFormat/>
    <w:uiPriority w:val="99"/>
    <w:pPr>
      <w:tabs>
        <w:tab w:val="center" w:pos="4153"/>
        <w:tab w:val="right" w:pos="8306"/>
      </w:tabs>
      <w:snapToGrid w:val="0"/>
      <w:jc w:val="left"/>
    </w:pPr>
    <w:rPr>
      <w:rFonts w:ascii="Times New Roman" w:hAnsi="Times New Roman"/>
      <w:sz w:val="18"/>
      <w:szCs w:val="18"/>
    </w:rPr>
  </w:style>
  <w:style w:type="paragraph" w:styleId="13">
    <w:name w:val="header"/>
    <w:basedOn w:val="1"/>
    <w:link w:val="24"/>
    <w:qFormat/>
    <w:uiPriority w:val="0"/>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14">
    <w:name w:val="toc 1"/>
    <w:basedOn w:val="1"/>
    <w:next w:val="1"/>
    <w:qFormat/>
    <w:uiPriority w:val="0"/>
    <w:pPr>
      <w:tabs>
        <w:tab w:val="right" w:leader="dot" w:pos="9135"/>
      </w:tabs>
      <w:spacing w:line="480" w:lineRule="auto"/>
      <w:ind w:left="105" w:leftChars="50"/>
      <w:jc w:val="center"/>
    </w:pPr>
    <w:rPr>
      <w:rFonts w:ascii="黑体" w:hAnsi="宋体" w:eastAsia="黑体" w:cs="宋体"/>
      <w:color w:val="000000"/>
      <w:kern w:val="0"/>
      <w:sz w:val="32"/>
      <w:szCs w:val="32"/>
    </w:r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6">
    <w:name w:val="Body Text First Indent 2"/>
    <w:basedOn w:val="7"/>
    <w:qFormat/>
    <w:uiPriority w:val="0"/>
    <w:pPr>
      <w:ind w:firstLine="420"/>
    </w:pPr>
  </w:style>
  <w:style w:type="table" w:styleId="18">
    <w:name w:val="Table Grid"/>
    <w:basedOn w:val="17"/>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page number"/>
    <w:basedOn w:val="19"/>
    <w:qFormat/>
    <w:uiPriority w:val="0"/>
  </w:style>
  <w:style w:type="character" w:styleId="21">
    <w:name w:val="Hyperlink"/>
    <w:qFormat/>
    <w:uiPriority w:val="0"/>
    <w:rPr>
      <w:color w:val="0000FF"/>
      <w:u w:val="single"/>
    </w:rPr>
  </w:style>
  <w:style w:type="character" w:customStyle="1" w:styleId="22">
    <w:name w:val="标题 1 Char"/>
    <w:basedOn w:val="19"/>
    <w:link w:val="3"/>
    <w:qFormat/>
    <w:uiPriority w:val="0"/>
    <w:rPr>
      <w:rFonts w:ascii="Times New Roman" w:hAnsi="Times New Roman" w:eastAsia="MS Gothic" w:cs="Times New Roman"/>
      <w:b/>
      <w:bCs/>
      <w:kern w:val="44"/>
      <w:sz w:val="44"/>
      <w:szCs w:val="44"/>
      <w:lang w:val="zh-CN" w:eastAsia="zh-CN"/>
    </w:rPr>
  </w:style>
  <w:style w:type="character" w:customStyle="1" w:styleId="23">
    <w:name w:val="页脚 Char"/>
    <w:basedOn w:val="19"/>
    <w:link w:val="12"/>
    <w:qFormat/>
    <w:uiPriority w:val="99"/>
    <w:rPr>
      <w:rFonts w:ascii="Times New Roman" w:hAnsi="Times New Roman" w:eastAsia="宋体" w:cs="Times New Roman"/>
      <w:sz w:val="18"/>
      <w:szCs w:val="18"/>
    </w:rPr>
  </w:style>
  <w:style w:type="character" w:customStyle="1" w:styleId="24">
    <w:name w:val="页眉 Char"/>
    <w:basedOn w:val="19"/>
    <w:link w:val="13"/>
    <w:qFormat/>
    <w:uiPriority w:val="0"/>
    <w:rPr>
      <w:rFonts w:ascii="Times New Roman" w:hAnsi="Times New Roman" w:eastAsia="宋体" w:cs="Times New Roman"/>
      <w:sz w:val="18"/>
      <w:szCs w:val="18"/>
    </w:rPr>
  </w:style>
  <w:style w:type="character" w:customStyle="1" w:styleId="25">
    <w:name w:val="页脚 Char Char"/>
    <w:qFormat/>
    <w:uiPriority w:val="0"/>
    <w:rPr>
      <w:rFonts w:ascii="Times New Roman" w:hAnsi="Times New Roman" w:eastAsia="宋体" w:cs="Times New Roman"/>
      <w:sz w:val="18"/>
      <w:szCs w:val="18"/>
    </w:rPr>
  </w:style>
  <w:style w:type="character" w:customStyle="1" w:styleId="26">
    <w:name w:val="正文缩进 Char"/>
    <w:link w:val="6"/>
    <w:qFormat/>
    <w:uiPriority w:val="0"/>
    <w:rPr>
      <w:sz w:val="28"/>
    </w:rPr>
  </w:style>
  <w:style w:type="character" w:customStyle="1" w:styleId="27">
    <w:name w:val="正文啊 Char Char"/>
    <w:link w:val="28"/>
    <w:qFormat/>
    <w:uiPriority w:val="0"/>
    <w:rPr>
      <w:rFonts w:ascii="仿宋_GB2312" w:hAnsi="宋体" w:eastAsia="仿宋_GB2312"/>
      <w:bCs/>
      <w:sz w:val="30"/>
      <w:szCs w:val="30"/>
    </w:rPr>
  </w:style>
  <w:style w:type="paragraph" w:customStyle="1" w:styleId="28">
    <w:name w:val="正文啊"/>
    <w:basedOn w:val="1"/>
    <w:link w:val="27"/>
    <w:qFormat/>
    <w:uiPriority w:val="0"/>
    <w:pPr>
      <w:spacing w:line="560" w:lineRule="exact"/>
      <w:ind w:firstLine="600" w:firstLineChars="200"/>
    </w:pPr>
    <w:rPr>
      <w:rFonts w:ascii="仿宋_GB2312" w:hAnsi="宋体" w:eastAsia="仿宋_GB2312" w:cstheme="minorBidi"/>
      <w:bCs/>
      <w:sz w:val="30"/>
      <w:szCs w:val="30"/>
    </w:rPr>
  </w:style>
  <w:style w:type="paragraph" w:customStyle="1" w:styleId="29">
    <w:name w:val="Char"/>
    <w:basedOn w:val="1"/>
    <w:next w:val="1"/>
    <w:qFormat/>
    <w:uiPriority w:val="0"/>
    <w:pPr>
      <w:widowControl/>
      <w:spacing w:line="360" w:lineRule="auto"/>
      <w:jc w:val="left"/>
    </w:pPr>
    <w:rPr>
      <w:rFonts w:ascii="Times New Roman" w:hAnsi="Times New Roman"/>
      <w:kern w:val="0"/>
      <w:szCs w:val="20"/>
      <w:lang w:eastAsia="en-US"/>
    </w:rPr>
  </w:style>
  <w:style w:type="character" w:customStyle="1" w:styleId="30">
    <w:name w:val="批注框文本 Char"/>
    <w:basedOn w:val="19"/>
    <w:link w:val="11"/>
    <w:qFormat/>
    <w:uiPriority w:val="99"/>
    <w:rPr>
      <w:rFonts w:ascii="Times New Roman" w:hAnsi="Times New Roman" w:eastAsia="宋体" w:cs="Times New Roman"/>
      <w:sz w:val="18"/>
      <w:szCs w:val="18"/>
      <w:lang w:val="zh-CN" w:eastAsia="zh-CN"/>
    </w:rPr>
  </w:style>
  <w:style w:type="character" w:customStyle="1" w:styleId="31">
    <w:name w:val="日期 Char"/>
    <w:basedOn w:val="19"/>
    <w:link w:val="9"/>
    <w:qFormat/>
    <w:uiPriority w:val="0"/>
    <w:rPr>
      <w:rFonts w:ascii="Times New Roman" w:hAnsi="Times New Roman" w:eastAsia="宋体" w:cs="Times New Roman"/>
      <w:szCs w:val="24"/>
    </w:rPr>
  </w:style>
  <w:style w:type="paragraph" w:customStyle="1" w:styleId="32">
    <w:name w:val="Default Paragraph Char Char Char Char"/>
    <w:basedOn w:val="1"/>
    <w:next w:val="1"/>
    <w:qFormat/>
    <w:uiPriority w:val="0"/>
    <w:pPr>
      <w:widowControl/>
      <w:spacing w:line="360" w:lineRule="auto"/>
      <w:jc w:val="center"/>
    </w:pPr>
    <w:rPr>
      <w:rFonts w:ascii="Times New Roman" w:hAnsi="Times New Roman" w:eastAsia="方正小标宋简体"/>
      <w:kern w:val="0"/>
      <w:sz w:val="44"/>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14716</Words>
  <Characters>15682</Characters>
  <Lines>61</Lines>
  <Paragraphs>17</Paragraphs>
  <TotalTime>4</TotalTime>
  <ScaleCrop>false</ScaleCrop>
  <LinksUpToDate>false</LinksUpToDate>
  <CharactersWithSpaces>15822</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2022-12-07T17:02:00Z</dcterms:created>
  <dc:creator>王焱</dc:creator>
  <cp:lastModifiedBy>uos</cp:lastModifiedBy>
  <cp:lastPrinted>2022-12-08T00:18:00Z</cp:lastPrinted>
  <dcterms:modified xsi:type="dcterms:W3CDTF">2026-08-03T11:33:50Z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8731CC4281C34B3992644F22276ECF56_13</vt:lpwstr>
  </property>
</Properties>
</file>